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45" w:rsidRPr="00D3254B" w:rsidRDefault="00A358AC" w:rsidP="00F864EE">
      <w:pPr>
        <w:spacing w:after="0" w:line="240" w:lineRule="auto"/>
        <w:ind w:left="3969"/>
        <w:jc w:val="both"/>
        <w:rPr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D3254B">
        <w:rPr>
          <w:b/>
          <w:caps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-53340</wp:posOffset>
            </wp:positionV>
            <wp:extent cx="2124075" cy="685800"/>
            <wp:effectExtent l="19050" t="0" r="9525" b="0"/>
            <wp:wrapSquare wrapText="bothSides"/>
            <wp:docPr id="1" name="Picture 0" descr="ECRC_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RC_EU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254B">
        <w:rPr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European civil resource centre</w:t>
      </w:r>
    </w:p>
    <w:p w:rsidR="00F11A45" w:rsidRPr="00A358AC" w:rsidRDefault="00A358AC" w:rsidP="00F864EE">
      <w:pPr>
        <w:spacing w:after="0" w:line="240" w:lineRule="auto"/>
        <w:ind w:left="3969"/>
        <w:jc w:val="both"/>
        <w:rPr>
          <w:lang w:val="bg-BG"/>
        </w:rPr>
      </w:pPr>
      <w:r w:rsidRPr="00A358AC">
        <w:t>1202 Sofia, Bulgaria, 1</w:t>
      </w:r>
      <w:r w:rsidRPr="00A358AC">
        <w:rPr>
          <w:vertAlign w:val="superscript"/>
        </w:rPr>
        <w:t>st</w:t>
      </w:r>
      <w:r w:rsidRPr="00A358AC">
        <w:t xml:space="preserve"> Pop Bogomil Str.</w:t>
      </w:r>
    </w:p>
    <w:p w:rsidR="00F11A45" w:rsidRPr="00A358AC" w:rsidRDefault="00A358AC" w:rsidP="00F864EE">
      <w:pPr>
        <w:spacing w:after="0" w:line="240" w:lineRule="auto"/>
        <w:ind w:left="3969"/>
        <w:jc w:val="both"/>
        <w:rPr>
          <w:lang w:val="bg-BG"/>
        </w:rPr>
      </w:pPr>
      <w:r w:rsidRPr="00A358AC">
        <w:t>Tel</w:t>
      </w:r>
      <w:r w:rsidR="00F11A45" w:rsidRPr="00A358AC">
        <w:rPr>
          <w:lang w:val="bg-BG"/>
        </w:rPr>
        <w:t>. +359 2 442 53 66</w:t>
      </w:r>
    </w:p>
    <w:p w:rsidR="00F11A45" w:rsidRPr="00F864EE" w:rsidRDefault="00A358AC" w:rsidP="00F864EE">
      <w:pPr>
        <w:spacing w:after="0" w:line="240" w:lineRule="auto"/>
        <w:ind w:left="3969"/>
        <w:jc w:val="both"/>
      </w:pPr>
      <w:r>
        <w:t>E</w:t>
      </w:r>
      <w:r w:rsidR="00F11A45" w:rsidRPr="00A358AC">
        <w:t xml:space="preserve">-mail: </w:t>
      </w:r>
      <w:hyperlink r:id="rId7" w:history="1">
        <w:r w:rsidRPr="00A358AC">
          <w:rPr>
            <w:rStyle w:val="Hypertextovodkaz"/>
          </w:rPr>
          <w:t>europe@ecrc-eu.com</w:t>
        </w:r>
      </w:hyperlink>
      <w:r w:rsidRPr="00A358AC">
        <w:t> </w:t>
      </w:r>
      <w:r w:rsidR="00F11A45" w:rsidRPr="00A358AC">
        <w:rPr>
          <w:lang w:val="bg-BG"/>
        </w:rPr>
        <w:t xml:space="preserve">, </w:t>
      </w:r>
      <w:r w:rsidR="00F11A45" w:rsidRPr="00A358AC">
        <w:t xml:space="preserve">web: </w:t>
      </w:r>
      <w:hyperlink r:id="rId8" w:history="1">
        <w:r w:rsidRPr="00A358AC">
          <w:rPr>
            <w:rStyle w:val="Hypertextovodkaz"/>
            <w:lang w:val="bg-BG"/>
          </w:rPr>
          <w:t>http://ecrc-</w:t>
        </w:r>
        <w:r w:rsidRPr="00A358AC">
          <w:rPr>
            <w:rStyle w:val="Hypertextovodkaz"/>
          </w:rPr>
          <w:t>eu</w:t>
        </w:r>
        <w:r w:rsidRPr="00A358AC">
          <w:rPr>
            <w:rStyle w:val="Hypertextovodkaz"/>
            <w:lang w:val="bg-BG"/>
          </w:rPr>
          <w:t>.com</w:t>
        </w:r>
      </w:hyperlink>
    </w:p>
    <w:p w:rsidR="00F11A45" w:rsidRPr="00F864EE" w:rsidRDefault="00D3254B" w:rsidP="00F864EE">
      <w:pPr>
        <w:spacing w:after="0" w:line="240" w:lineRule="auto"/>
        <w:ind w:left="4253"/>
        <w:jc w:val="both"/>
        <w:rPr>
          <w:b/>
          <w:caps/>
          <w:sz w:val="24"/>
          <w:szCs w:val="24"/>
          <w:lang w:val="bg-BG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149225</wp:posOffset>
                </wp:positionV>
                <wp:extent cx="5924550" cy="0"/>
                <wp:effectExtent l="9525" t="14605" r="9525" b="1397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05pt;margin-top:11.75pt;width:46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" strokecolor="#548dd4 [1951]" strokeweight="1.5pt"/>
            </w:pict>
          </mc:Fallback>
        </mc:AlternateContent>
      </w:r>
    </w:p>
    <w:p w:rsidR="00D4190F" w:rsidRPr="00F864EE" w:rsidRDefault="00D3254B" w:rsidP="00F864EE">
      <w:pPr>
        <w:jc w:val="both"/>
        <w:rPr>
          <w:b/>
          <w:caps/>
          <w:sz w:val="26"/>
          <w:szCs w:val="26"/>
          <w:lang w:val="bg-BG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1270</wp:posOffset>
                </wp:positionV>
                <wp:extent cx="5924550" cy="0"/>
                <wp:effectExtent l="9525" t="14605" r="9525" b="139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.05pt;margin-top:.1pt;width:46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" strokecolor="#17365d [2415]" strokeweight="1pt"/>
            </w:pict>
          </mc:Fallback>
        </mc:AlternateContent>
      </w:r>
    </w:p>
    <w:p w:rsidR="00CF5D12" w:rsidRPr="00F864EE" w:rsidRDefault="00CF5D12" w:rsidP="00F864EE">
      <w:pPr>
        <w:spacing w:after="0" w:line="240" w:lineRule="auto"/>
        <w:jc w:val="both"/>
        <w:rPr>
          <w:sz w:val="26"/>
          <w:szCs w:val="26"/>
        </w:rPr>
      </w:pPr>
      <w:r w:rsidRPr="00F864EE">
        <w:rPr>
          <w:sz w:val="26"/>
          <w:szCs w:val="26"/>
        </w:rPr>
        <w:t xml:space="preserve">Dear colleagues, </w:t>
      </w:r>
    </w:p>
    <w:p w:rsidR="00D4190F" w:rsidRPr="00F864EE" w:rsidRDefault="00D4190F" w:rsidP="00F864EE">
      <w:pPr>
        <w:spacing w:after="0" w:line="240" w:lineRule="auto"/>
        <w:jc w:val="both"/>
        <w:rPr>
          <w:sz w:val="26"/>
          <w:szCs w:val="26"/>
          <w:lang w:val="bg-BG"/>
        </w:rPr>
      </w:pPr>
    </w:p>
    <w:p w:rsidR="00D4190F" w:rsidRPr="00F864EE" w:rsidRDefault="00CF5D12" w:rsidP="00F864EE">
      <w:pPr>
        <w:spacing w:after="0" w:line="240" w:lineRule="auto"/>
        <w:jc w:val="both"/>
        <w:rPr>
          <w:sz w:val="24"/>
          <w:szCs w:val="24"/>
        </w:rPr>
      </w:pPr>
      <w:r w:rsidRPr="00F864EE">
        <w:rPr>
          <w:sz w:val="24"/>
          <w:szCs w:val="24"/>
        </w:rPr>
        <w:t>We are pleased to a</w:t>
      </w:r>
      <w:r w:rsidR="00094B3E">
        <w:rPr>
          <w:sz w:val="24"/>
          <w:szCs w:val="24"/>
        </w:rPr>
        <w:t xml:space="preserve">nnounce that on 1 June 2013 open </w:t>
      </w:r>
      <w:r w:rsidR="005A7BF3">
        <w:rPr>
          <w:sz w:val="24"/>
          <w:szCs w:val="24"/>
        </w:rPr>
        <w:t>doors</w:t>
      </w:r>
      <w:r w:rsidRPr="00F864EE">
        <w:rPr>
          <w:sz w:val="24"/>
          <w:szCs w:val="24"/>
        </w:rPr>
        <w:t xml:space="preserve"> </w:t>
      </w:r>
      <w:r w:rsidR="00A358AC">
        <w:rPr>
          <w:sz w:val="24"/>
          <w:szCs w:val="24"/>
        </w:rPr>
        <w:t>European Civil Resource Centre</w:t>
      </w:r>
      <w:r w:rsidR="00F864EE">
        <w:rPr>
          <w:sz w:val="24"/>
          <w:szCs w:val="24"/>
        </w:rPr>
        <w:t xml:space="preserve"> </w:t>
      </w:r>
      <w:r w:rsidRPr="00F864EE">
        <w:rPr>
          <w:sz w:val="24"/>
          <w:szCs w:val="24"/>
        </w:rPr>
        <w:t>that will provide information about the resources and opportunities offered by the “Europe for Citizens” Program</w:t>
      </w:r>
      <w:r w:rsidR="00A358AC">
        <w:rPr>
          <w:sz w:val="24"/>
          <w:szCs w:val="24"/>
        </w:rPr>
        <w:t>me</w:t>
      </w:r>
      <w:r w:rsidRPr="00F864EE">
        <w:rPr>
          <w:sz w:val="24"/>
          <w:szCs w:val="24"/>
        </w:rPr>
        <w:t>.</w:t>
      </w:r>
    </w:p>
    <w:p w:rsidR="00CF5D12" w:rsidRPr="00F864EE" w:rsidRDefault="00CF5D12" w:rsidP="00F864EE">
      <w:pPr>
        <w:spacing w:after="0" w:line="240" w:lineRule="auto"/>
        <w:jc w:val="both"/>
        <w:rPr>
          <w:sz w:val="24"/>
          <w:szCs w:val="24"/>
        </w:rPr>
      </w:pPr>
    </w:p>
    <w:p w:rsidR="00654FCE" w:rsidRPr="00F864EE" w:rsidRDefault="00654FCE" w:rsidP="00F864EE">
      <w:pPr>
        <w:spacing w:after="0" w:line="240" w:lineRule="auto"/>
        <w:jc w:val="both"/>
        <w:rPr>
          <w:sz w:val="24"/>
          <w:szCs w:val="24"/>
        </w:rPr>
      </w:pPr>
      <w:r w:rsidRPr="00F864EE">
        <w:rPr>
          <w:sz w:val="24"/>
          <w:szCs w:val="24"/>
        </w:rPr>
        <w:t xml:space="preserve">The main goal of the Centre is to support NGOs and local authorities in the planning and strategic management of </w:t>
      </w:r>
      <w:r w:rsidR="00457924" w:rsidRPr="00F864EE">
        <w:rPr>
          <w:sz w:val="24"/>
          <w:szCs w:val="24"/>
        </w:rPr>
        <w:t xml:space="preserve">the project cycle of the </w:t>
      </w:r>
      <w:r w:rsidR="00F864EE" w:rsidRPr="00F864EE">
        <w:rPr>
          <w:sz w:val="24"/>
          <w:szCs w:val="24"/>
        </w:rPr>
        <w:t>“Europe for Citizens” Program</w:t>
      </w:r>
      <w:r w:rsidR="00A358AC">
        <w:rPr>
          <w:sz w:val="24"/>
          <w:szCs w:val="24"/>
        </w:rPr>
        <w:t>me</w:t>
      </w:r>
      <w:r w:rsidR="00F864EE" w:rsidRPr="00F864EE">
        <w:rPr>
          <w:sz w:val="24"/>
          <w:szCs w:val="24"/>
        </w:rPr>
        <w:t>.</w:t>
      </w:r>
    </w:p>
    <w:p w:rsidR="00654FCE" w:rsidRPr="00F864EE" w:rsidRDefault="00654FCE" w:rsidP="00F864EE">
      <w:pPr>
        <w:spacing w:after="0" w:line="240" w:lineRule="auto"/>
        <w:jc w:val="both"/>
        <w:rPr>
          <w:sz w:val="24"/>
          <w:szCs w:val="24"/>
        </w:rPr>
      </w:pPr>
    </w:p>
    <w:p w:rsidR="00654FCE" w:rsidRPr="00F864EE" w:rsidRDefault="00654FCE" w:rsidP="00F864EE">
      <w:pPr>
        <w:spacing w:after="0" w:line="240" w:lineRule="auto"/>
        <w:ind w:left="360"/>
        <w:jc w:val="both"/>
        <w:rPr>
          <w:sz w:val="24"/>
          <w:szCs w:val="24"/>
        </w:rPr>
      </w:pPr>
      <w:r w:rsidRPr="00F864EE">
        <w:rPr>
          <w:sz w:val="24"/>
          <w:szCs w:val="24"/>
        </w:rPr>
        <w:t>All services provided by the Centre are free and related to:</w:t>
      </w:r>
    </w:p>
    <w:p w:rsidR="00654FCE" w:rsidRPr="00F864EE" w:rsidRDefault="00654FCE" w:rsidP="00F864E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864EE">
        <w:rPr>
          <w:sz w:val="24"/>
          <w:szCs w:val="24"/>
        </w:rPr>
        <w:t xml:space="preserve">Provision of information about the conditions and mechanisms of the “Europe for Citizens” </w:t>
      </w:r>
      <w:r w:rsidR="00457924" w:rsidRPr="00F864EE">
        <w:rPr>
          <w:sz w:val="24"/>
          <w:szCs w:val="24"/>
        </w:rPr>
        <w:t>Programme</w:t>
      </w:r>
      <w:r w:rsidR="00F864EE" w:rsidRPr="00F864EE">
        <w:rPr>
          <w:sz w:val="24"/>
          <w:szCs w:val="24"/>
        </w:rPr>
        <w:t xml:space="preserve"> and other similar P</w:t>
      </w:r>
      <w:r w:rsidRPr="00F864EE">
        <w:rPr>
          <w:sz w:val="24"/>
          <w:szCs w:val="24"/>
        </w:rPr>
        <w:t>rogram</w:t>
      </w:r>
      <w:r w:rsidR="00457924" w:rsidRPr="00F864EE">
        <w:rPr>
          <w:sz w:val="24"/>
          <w:szCs w:val="24"/>
        </w:rPr>
        <w:t>me</w:t>
      </w:r>
      <w:r w:rsidRPr="00F864EE">
        <w:rPr>
          <w:sz w:val="24"/>
          <w:szCs w:val="24"/>
        </w:rPr>
        <w:t>s of the EC;</w:t>
      </w:r>
    </w:p>
    <w:p w:rsidR="00654FCE" w:rsidRPr="00F864EE" w:rsidRDefault="00654FCE" w:rsidP="00F864E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864EE">
        <w:rPr>
          <w:sz w:val="24"/>
          <w:szCs w:val="24"/>
        </w:rPr>
        <w:t>Provision of information, consultations, advice and technical support in the preparation of the project proposals/ideas and their realization;</w:t>
      </w:r>
    </w:p>
    <w:p w:rsidR="00654FCE" w:rsidRPr="00F864EE" w:rsidRDefault="00654FCE" w:rsidP="00F864E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864EE">
        <w:rPr>
          <w:sz w:val="24"/>
          <w:szCs w:val="24"/>
        </w:rPr>
        <w:t>Provision of advice and consultative-methodological help with the organization of appropriate formats for exchange of information and good practices</w:t>
      </w:r>
      <w:r w:rsidR="002040F1" w:rsidRPr="00F864EE">
        <w:rPr>
          <w:sz w:val="24"/>
          <w:szCs w:val="24"/>
        </w:rPr>
        <w:t>.</w:t>
      </w:r>
    </w:p>
    <w:p w:rsidR="00654FCE" w:rsidRPr="00F864EE" w:rsidRDefault="00654FCE" w:rsidP="00F864EE">
      <w:pPr>
        <w:spacing w:after="0" w:line="240" w:lineRule="auto"/>
        <w:ind w:left="360"/>
        <w:jc w:val="both"/>
        <w:rPr>
          <w:sz w:val="24"/>
          <w:szCs w:val="24"/>
        </w:rPr>
      </w:pPr>
    </w:p>
    <w:p w:rsidR="00F11A45" w:rsidRPr="00F864EE" w:rsidRDefault="00F11A45" w:rsidP="00F864EE">
      <w:pPr>
        <w:spacing w:after="0" w:line="240" w:lineRule="auto"/>
        <w:jc w:val="both"/>
        <w:rPr>
          <w:sz w:val="24"/>
          <w:szCs w:val="24"/>
          <w:lang w:val="bg-BG"/>
        </w:rPr>
      </w:pPr>
    </w:p>
    <w:p w:rsidR="002040F1" w:rsidRPr="00F864EE" w:rsidRDefault="002040F1" w:rsidP="00F864EE">
      <w:pPr>
        <w:spacing w:after="0" w:line="240" w:lineRule="auto"/>
        <w:jc w:val="both"/>
        <w:rPr>
          <w:sz w:val="24"/>
          <w:szCs w:val="24"/>
        </w:rPr>
      </w:pPr>
      <w:r w:rsidRPr="00F864EE">
        <w:rPr>
          <w:sz w:val="24"/>
          <w:szCs w:val="24"/>
        </w:rPr>
        <w:t>The main activities are directed towards:</w:t>
      </w:r>
    </w:p>
    <w:p w:rsidR="00D4190F" w:rsidRPr="00F864EE" w:rsidRDefault="00E13616" w:rsidP="00F864E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864EE">
        <w:rPr>
          <w:sz w:val="24"/>
          <w:szCs w:val="24"/>
        </w:rPr>
        <w:t>Creation</w:t>
      </w:r>
      <w:r w:rsidR="002040F1" w:rsidRPr="00F864EE">
        <w:rPr>
          <w:sz w:val="24"/>
          <w:szCs w:val="24"/>
        </w:rPr>
        <w:t xml:space="preserve"> of a</w:t>
      </w:r>
      <w:r w:rsidR="00A358AC">
        <w:rPr>
          <w:sz w:val="24"/>
          <w:szCs w:val="24"/>
        </w:rPr>
        <w:t>n</w:t>
      </w:r>
      <w:r w:rsidR="002040F1" w:rsidRPr="00F864EE">
        <w:rPr>
          <w:sz w:val="24"/>
          <w:szCs w:val="24"/>
        </w:rPr>
        <w:t xml:space="preserve"> </w:t>
      </w:r>
      <w:r w:rsidR="00A358AC">
        <w:rPr>
          <w:sz w:val="24"/>
          <w:szCs w:val="24"/>
        </w:rPr>
        <w:t>inter</w:t>
      </w:r>
      <w:r w:rsidR="002040F1" w:rsidRPr="00F864EE">
        <w:rPr>
          <w:sz w:val="24"/>
          <w:szCs w:val="24"/>
        </w:rPr>
        <w:t xml:space="preserve">national network with potential partners and beneficiaries </w:t>
      </w:r>
      <w:r w:rsidR="00457924" w:rsidRPr="00F864EE">
        <w:rPr>
          <w:sz w:val="24"/>
          <w:szCs w:val="24"/>
        </w:rPr>
        <w:t xml:space="preserve">within </w:t>
      </w:r>
      <w:r w:rsidR="002040F1" w:rsidRPr="00F864EE">
        <w:rPr>
          <w:sz w:val="24"/>
          <w:szCs w:val="24"/>
        </w:rPr>
        <w:t>the “Europe for Citizen” Program</w:t>
      </w:r>
      <w:r w:rsidR="00457924" w:rsidRPr="00F864EE">
        <w:rPr>
          <w:sz w:val="24"/>
          <w:szCs w:val="24"/>
        </w:rPr>
        <w:t>me</w:t>
      </w:r>
      <w:r w:rsidR="002040F1" w:rsidRPr="00F864EE">
        <w:rPr>
          <w:sz w:val="24"/>
          <w:szCs w:val="24"/>
        </w:rPr>
        <w:t>; The registration in the network is free, easy and accessible on the website of the Centre:</w:t>
      </w:r>
      <w:r w:rsidR="00F864EE">
        <w:rPr>
          <w:sz w:val="24"/>
          <w:szCs w:val="24"/>
        </w:rPr>
        <w:t xml:space="preserve"> </w:t>
      </w:r>
      <w:hyperlink r:id="rId9" w:history="1">
        <w:r w:rsidR="00A358AC" w:rsidRPr="003F3311">
          <w:rPr>
            <w:rStyle w:val="Hypertextovodkaz"/>
            <w:b/>
            <w:sz w:val="24"/>
            <w:szCs w:val="24"/>
            <w:lang w:val="bg-BG"/>
          </w:rPr>
          <w:t>http://ecrc-</w:t>
        </w:r>
        <w:r w:rsidR="00A358AC" w:rsidRPr="003F3311">
          <w:rPr>
            <w:rStyle w:val="Hypertextovodkaz"/>
            <w:b/>
            <w:sz w:val="24"/>
            <w:szCs w:val="24"/>
          </w:rPr>
          <w:t>eu</w:t>
        </w:r>
        <w:r w:rsidR="00A358AC" w:rsidRPr="003F3311">
          <w:rPr>
            <w:rStyle w:val="Hypertextovodkaz"/>
            <w:b/>
            <w:sz w:val="24"/>
            <w:szCs w:val="24"/>
            <w:lang w:val="bg-BG"/>
          </w:rPr>
          <w:t>.com</w:t>
        </w:r>
      </w:hyperlink>
      <w:r w:rsidR="002040F1" w:rsidRPr="00F864EE">
        <w:rPr>
          <w:sz w:val="24"/>
          <w:szCs w:val="24"/>
        </w:rPr>
        <w:t xml:space="preserve"> (Section “Partnership”). Each registered participant receives up-to-date information about present news and initiatives, free methodological</w:t>
      </w:r>
      <w:r w:rsidRPr="00F864EE">
        <w:rPr>
          <w:sz w:val="24"/>
          <w:szCs w:val="24"/>
        </w:rPr>
        <w:t xml:space="preserve"> and technical help with the preparation of the project proposals/ideas and their realization, contacts with national and international partners;</w:t>
      </w:r>
    </w:p>
    <w:p w:rsidR="00E13616" w:rsidRPr="00F864EE" w:rsidRDefault="00E13616" w:rsidP="00F864EE">
      <w:pPr>
        <w:spacing w:after="0" w:line="240" w:lineRule="auto"/>
        <w:jc w:val="both"/>
        <w:rPr>
          <w:sz w:val="24"/>
          <w:szCs w:val="24"/>
          <w:lang w:val="bg-BG"/>
        </w:rPr>
      </w:pPr>
    </w:p>
    <w:p w:rsidR="00D4190F" w:rsidRPr="00F864EE" w:rsidRDefault="00E13616" w:rsidP="00F864E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bg-BG"/>
        </w:rPr>
      </w:pPr>
      <w:r w:rsidRPr="00F864EE">
        <w:rPr>
          <w:sz w:val="24"/>
          <w:szCs w:val="24"/>
        </w:rPr>
        <w:t xml:space="preserve">Organization of practical trainings </w:t>
      </w:r>
      <w:r w:rsidR="00D73DFF" w:rsidRPr="00F864EE">
        <w:rPr>
          <w:sz w:val="24"/>
          <w:szCs w:val="24"/>
        </w:rPr>
        <w:t>about</w:t>
      </w:r>
      <w:r w:rsidRPr="00F864EE">
        <w:rPr>
          <w:sz w:val="24"/>
          <w:szCs w:val="24"/>
        </w:rPr>
        <w:t xml:space="preserve"> presenting the “Europe for Citizens” Program</w:t>
      </w:r>
      <w:r w:rsidR="00457924" w:rsidRPr="00F864EE">
        <w:rPr>
          <w:sz w:val="24"/>
          <w:szCs w:val="24"/>
        </w:rPr>
        <w:t>me</w:t>
      </w:r>
      <w:r w:rsidRPr="00F864EE">
        <w:rPr>
          <w:sz w:val="24"/>
          <w:szCs w:val="24"/>
        </w:rPr>
        <w:t xml:space="preserve"> – aims, mechanisms, opportunities; development of new project proposals; presentation of good practices. The trainings are current and will take place in the period July- September 2013 in various towns in the country. The information days will be accessible to all participants in the national network. </w:t>
      </w:r>
    </w:p>
    <w:p w:rsidR="00E13616" w:rsidRPr="00F864EE" w:rsidRDefault="00E13616" w:rsidP="00F864EE">
      <w:pPr>
        <w:pStyle w:val="Odstavecseseznamem"/>
        <w:spacing w:after="0" w:line="240" w:lineRule="auto"/>
        <w:jc w:val="both"/>
        <w:rPr>
          <w:sz w:val="24"/>
          <w:szCs w:val="24"/>
          <w:lang w:val="bg-BG"/>
        </w:rPr>
      </w:pPr>
    </w:p>
    <w:p w:rsidR="00D4190F" w:rsidRPr="00F864EE" w:rsidRDefault="00D4190F" w:rsidP="00F864EE">
      <w:pPr>
        <w:spacing w:after="0" w:line="240" w:lineRule="auto"/>
        <w:jc w:val="both"/>
        <w:rPr>
          <w:i/>
          <w:sz w:val="24"/>
          <w:szCs w:val="24"/>
        </w:rPr>
      </w:pPr>
    </w:p>
    <w:p w:rsidR="00E13616" w:rsidRPr="00F864EE" w:rsidRDefault="00E13616" w:rsidP="00F864EE">
      <w:pPr>
        <w:spacing w:after="0" w:line="240" w:lineRule="auto"/>
        <w:jc w:val="both"/>
        <w:rPr>
          <w:i/>
          <w:sz w:val="24"/>
          <w:szCs w:val="24"/>
        </w:rPr>
      </w:pPr>
      <w:r w:rsidRPr="00F864EE">
        <w:rPr>
          <w:i/>
          <w:sz w:val="24"/>
          <w:szCs w:val="24"/>
        </w:rPr>
        <w:t xml:space="preserve">The activities of the </w:t>
      </w:r>
      <w:r w:rsidR="00A358AC">
        <w:rPr>
          <w:i/>
          <w:sz w:val="24"/>
          <w:szCs w:val="24"/>
        </w:rPr>
        <w:t>European Civil Resource Centre</w:t>
      </w:r>
      <w:r w:rsidR="009F637E" w:rsidRPr="00F864EE">
        <w:rPr>
          <w:i/>
          <w:sz w:val="24"/>
          <w:szCs w:val="24"/>
        </w:rPr>
        <w:t xml:space="preserve"> are organized with the financial support of the European Commission (The Education, Audiovisual and C</w:t>
      </w:r>
      <w:r w:rsidR="00A358AC">
        <w:rPr>
          <w:i/>
          <w:sz w:val="24"/>
          <w:szCs w:val="24"/>
        </w:rPr>
        <w:t>ulture Executive Agency), the “</w:t>
      </w:r>
      <w:r w:rsidR="009F637E" w:rsidRPr="00F864EE">
        <w:rPr>
          <w:i/>
          <w:sz w:val="24"/>
          <w:szCs w:val="24"/>
        </w:rPr>
        <w:t>Europe for Citizens” Program</w:t>
      </w:r>
      <w:r w:rsidR="00457924" w:rsidRPr="00F864EE">
        <w:rPr>
          <w:i/>
          <w:sz w:val="24"/>
          <w:szCs w:val="24"/>
        </w:rPr>
        <w:t>me</w:t>
      </w:r>
      <w:r w:rsidR="009F637E" w:rsidRPr="00F864EE">
        <w:rPr>
          <w:i/>
          <w:sz w:val="24"/>
          <w:szCs w:val="24"/>
        </w:rPr>
        <w:t>, Action 1 –</w:t>
      </w:r>
      <w:r w:rsidR="00A358AC">
        <w:rPr>
          <w:i/>
          <w:sz w:val="24"/>
          <w:szCs w:val="24"/>
        </w:rPr>
        <w:t xml:space="preserve"> “Active Citizens for Europe”, </w:t>
      </w:r>
      <w:r w:rsidR="009F637E" w:rsidRPr="00F864EE">
        <w:rPr>
          <w:i/>
          <w:sz w:val="24"/>
          <w:szCs w:val="24"/>
        </w:rPr>
        <w:t>Measure 2.2 – “Support Measures”</w:t>
      </w:r>
    </w:p>
    <w:p w:rsidR="009F637E" w:rsidRPr="00F864EE" w:rsidRDefault="009F637E" w:rsidP="00F864EE">
      <w:pPr>
        <w:spacing w:after="0" w:line="240" w:lineRule="auto"/>
        <w:jc w:val="both"/>
        <w:rPr>
          <w:i/>
          <w:sz w:val="24"/>
          <w:szCs w:val="24"/>
        </w:rPr>
      </w:pPr>
    </w:p>
    <w:p w:rsidR="009F637E" w:rsidRPr="00A358AC" w:rsidRDefault="009F637E" w:rsidP="00F864EE">
      <w:pPr>
        <w:spacing w:after="0" w:line="240" w:lineRule="auto"/>
        <w:jc w:val="both"/>
        <w:rPr>
          <w:rStyle w:val="Hypertextovodkaz"/>
          <w:color w:val="auto"/>
        </w:rPr>
      </w:pPr>
      <w:r w:rsidRPr="00F864EE">
        <w:t xml:space="preserve">You can find more information on the </w:t>
      </w:r>
      <w:r w:rsidRPr="00A358AC">
        <w:t xml:space="preserve">website of the Centre: </w:t>
      </w:r>
      <w:r w:rsidRPr="00A358AC">
        <w:rPr>
          <w:rStyle w:val="Hypertextovodkaz"/>
          <w:color w:val="auto"/>
          <w:lang w:val="bg-BG"/>
        </w:rPr>
        <w:t>www.</w:t>
      </w:r>
      <w:r w:rsidRPr="00A358AC">
        <w:rPr>
          <w:rStyle w:val="Hypertextovodkaz"/>
          <w:color w:val="auto"/>
        </w:rPr>
        <w:t xml:space="preserve"> </w:t>
      </w:r>
      <w:r w:rsidR="00A358AC" w:rsidRPr="00A358AC">
        <w:rPr>
          <w:rStyle w:val="Hypertextovodkaz"/>
          <w:color w:val="auto"/>
          <w:lang w:val="bg-BG"/>
        </w:rPr>
        <w:t>ecrc-</w:t>
      </w:r>
      <w:r w:rsidR="00A358AC" w:rsidRPr="00A358AC">
        <w:rPr>
          <w:rStyle w:val="Hypertextovodkaz"/>
          <w:color w:val="auto"/>
        </w:rPr>
        <w:t>eu</w:t>
      </w:r>
      <w:r w:rsidRPr="00A358AC">
        <w:rPr>
          <w:rStyle w:val="Hypertextovodkaz"/>
          <w:color w:val="auto"/>
          <w:lang w:val="bg-BG"/>
        </w:rPr>
        <w:t>.com</w:t>
      </w:r>
    </w:p>
    <w:p w:rsidR="009F637E" w:rsidRPr="00A358AC" w:rsidRDefault="009F637E" w:rsidP="00F864EE">
      <w:pPr>
        <w:spacing w:after="0" w:line="240" w:lineRule="auto"/>
        <w:jc w:val="both"/>
        <w:rPr>
          <w:rStyle w:val="Hypertextovodkaz"/>
          <w:color w:val="auto"/>
          <w:u w:val="none"/>
        </w:rPr>
      </w:pPr>
      <w:r w:rsidRPr="00A358AC">
        <w:rPr>
          <w:rStyle w:val="Hypertextovodkaz"/>
          <w:color w:val="auto"/>
          <w:u w:val="none"/>
        </w:rPr>
        <w:t>In the Centre’s office: 1202 Sofia, 1 Pop Bogomil, floor 5, office 27</w:t>
      </w:r>
    </w:p>
    <w:p w:rsidR="009F637E" w:rsidRPr="00F864EE" w:rsidRDefault="009F637E" w:rsidP="00F864EE">
      <w:pPr>
        <w:spacing w:after="0" w:line="240" w:lineRule="auto"/>
        <w:jc w:val="both"/>
      </w:pPr>
      <w:r w:rsidRPr="00A358AC">
        <w:rPr>
          <w:rStyle w:val="Hypertextovodkaz"/>
          <w:color w:val="auto"/>
          <w:u w:val="none"/>
        </w:rPr>
        <w:t>Tel.:</w:t>
      </w:r>
      <w:r w:rsidRPr="00A358AC">
        <w:rPr>
          <w:lang w:val="bg-BG"/>
        </w:rPr>
        <w:t xml:space="preserve">  +359 2 442 53 66, </w:t>
      </w:r>
      <w:r w:rsidRPr="00A358AC">
        <w:t xml:space="preserve">e-mail: </w:t>
      </w:r>
      <w:hyperlink r:id="rId10" w:history="1">
        <w:r w:rsidR="00A358AC" w:rsidRPr="00A358AC">
          <w:rPr>
            <w:rStyle w:val="Hypertextovodkaz"/>
          </w:rPr>
          <w:t>europe@ecrc-eu.com</w:t>
        </w:r>
      </w:hyperlink>
    </w:p>
    <w:sectPr w:rsidR="009F637E" w:rsidRPr="00F864EE" w:rsidSect="00D4190F">
      <w:pgSz w:w="11907" w:h="16839" w:code="9"/>
      <w:pgMar w:top="1134" w:right="1138" w:bottom="1138" w:left="141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24B3D"/>
    <w:multiLevelType w:val="hybridMultilevel"/>
    <w:tmpl w:val="FD2C3ACE"/>
    <w:lvl w:ilvl="0" w:tplc="773461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F6BB0"/>
    <w:multiLevelType w:val="hybridMultilevel"/>
    <w:tmpl w:val="0BC61CA4"/>
    <w:lvl w:ilvl="0" w:tplc="D2B057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77F0D"/>
    <w:multiLevelType w:val="hybridMultilevel"/>
    <w:tmpl w:val="9FBC74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08"/>
    <w:rsid w:val="00094B3E"/>
    <w:rsid w:val="00164742"/>
    <w:rsid w:val="001C38F3"/>
    <w:rsid w:val="002040F1"/>
    <w:rsid w:val="00233801"/>
    <w:rsid w:val="00236981"/>
    <w:rsid w:val="002C439A"/>
    <w:rsid w:val="00321BE9"/>
    <w:rsid w:val="003E2C80"/>
    <w:rsid w:val="003F7349"/>
    <w:rsid w:val="004060E1"/>
    <w:rsid w:val="00451141"/>
    <w:rsid w:val="004567EF"/>
    <w:rsid w:val="00457924"/>
    <w:rsid w:val="00553A07"/>
    <w:rsid w:val="005A7BF3"/>
    <w:rsid w:val="005E1357"/>
    <w:rsid w:val="00654FCE"/>
    <w:rsid w:val="006D4369"/>
    <w:rsid w:val="00864E08"/>
    <w:rsid w:val="008911EA"/>
    <w:rsid w:val="008D6673"/>
    <w:rsid w:val="009B102A"/>
    <w:rsid w:val="009F637E"/>
    <w:rsid w:val="00A358AC"/>
    <w:rsid w:val="00A71C94"/>
    <w:rsid w:val="00B36504"/>
    <w:rsid w:val="00B768B5"/>
    <w:rsid w:val="00B918D9"/>
    <w:rsid w:val="00BB5F1E"/>
    <w:rsid w:val="00BE678C"/>
    <w:rsid w:val="00C0372F"/>
    <w:rsid w:val="00C23240"/>
    <w:rsid w:val="00C7008A"/>
    <w:rsid w:val="00CF5D12"/>
    <w:rsid w:val="00D3254B"/>
    <w:rsid w:val="00D4190F"/>
    <w:rsid w:val="00D73DFF"/>
    <w:rsid w:val="00E13616"/>
    <w:rsid w:val="00E57AAC"/>
    <w:rsid w:val="00F11A45"/>
    <w:rsid w:val="00F46155"/>
    <w:rsid w:val="00F8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2415]"/>
    </o:shapedefaults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008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734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A45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9F63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008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734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A45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9F6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rc-eu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urope@ecrc-eu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urope@ecrc-eu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rc-e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</dc:creator>
  <cp:lastModifiedBy>Baru</cp:lastModifiedBy>
  <cp:revision>2</cp:revision>
  <cp:lastPrinted>2013-05-22T11:16:00Z</cp:lastPrinted>
  <dcterms:created xsi:type="dcterms:W3CDTF">2013-07-08T07:34:00Z</dcterms:created>
  <dcterms:modified xsi:type="dcterms:W3CDTF">2013-07-08T07:34:00Z</dcterms:modified>
</cp:coreProperties>
</file>