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06" w:rsidRPr="006B0C64" w:rsidRDefault="006B0C64" w:rsidP="004A1975">
      <w:pPr>
        <w:spacing w:after="0"/>
        <w:jc w:val="center"/>
        <w:rPr>
          <w:rFonts w:cs="Verdana"/>
          <w:b/>
          <w:bCs/>
          <w:color w:val="66841E"/>
          <w:sz w:val="48"/>
          <w:szCs w:val="28"/>
          <w:lang w:val="en-US"/>
        </w:rPr>
      </w:pPr>
      <w:r>
        <w:rPr>
          <w:rFonts w:cs="Verdana"/>
          <w:b/>
          <w:color w:val="66841E"/>
          <w:sz w:val="48"/>
          <w:szCs w:val="28"/>
          <w:lang w:val="en-US"/>
        </w:rPr>
        <w:t>GDEE training courses</w:t>
      </w:r>
    </w:p>
    <w:tbl>
      <w:tblPr>
        <w:tblW w:w="10416" w:type="dxa"/>
        <w:jc w:val="center"/>
        <w:tblCellSpacing w:w="0" w:type="dxa"/>
        <w:tblInd w:w="150" w:type="dxa"/>
        <w:shd w:val="clear" w:color="auto" w:fill="FFFFFF"/>
        <w:tblCellMar>
          <w:left w:w="0" w:type="dxa"/>
          <w:right w:w="0" w:type="dxa"/>
        </w:tblCellMar>
        <w:tblLook w:val="04A0" w:firstRow="1" w:lastRow="0" w:firstColumn="1" w:lastColumn="0" w:noHBand="0" w:noVBand="1"/>
      </w:tblPr>
      <w:tblGrid>
        <w:gridCol w:w="10418"/>
      </w:tblGrid>
      <w:tr w:rsidR="006B0C64" w:rsidTr="004A1975">
        <w:trPr>
          <w:trHeight w:val="13231"/>
          <w:tblCellSpacing w:w="0" w:type="dxa"/>
          <w:jc w:val="center"/>
        </w:trPr>
        <w:tc>
          <w:tcPr>
            <w:tcW w:w="0" w:type="auto"/>
            <w:shd w:val="clear" w:color="auto" w:fill="FFFFFF"/>
            <w:tcMar>
              <w:top w:w="150" w:type="dxa"/>
              <w:left w:w="150" w:type="dxa"/>
              <w:bottom w:w="150" w:type="dxa"/>
              <w:right w:w="150" w:type="dxa"/>
            </w:tcMar>
            <w:vAlign w:val="center"/>
            <w:hideMark/>
          </w:tcPr>
          <w:tbl>
            <w:tblPr>
              <w:tblW w:w="10118" w:type="dxa"/>
              <w:jc w:val="center"/>
              <w:tblCellSpacing w:w="0" w:type="dxa"/>
              <w:tblCellMar>
                <w:left w:w="0" w:type="dxa"/>
                <w:right w:w="0" w:type="dxa"/>
              </w:tblCellMar>
              <w:tblLook w:val="04A0" w:firstRow="1" w:lastRow="0" w:firstColumn="1" w:lastColumn="0" w:noHBand="0" w:noVBand="1"/>
            </w:tblPr>
            <w:tblGrid>
              <w:gridCol w:w="10118"/>
            </w:tblGrid>
            <w:tr w:rsidR="006B0C64" w:rsidTr="004A1975">
              <w:trPr>
                <w:trHeight w:val="13214"/>
                <w:tblCellSpacing w:w="0" w:type="dxa"/>
                <w:jc w:val="center"/>
              </w:trPr>
              <w:tc>
                <w:tcPr>
                  <w:tcW w:w="0" w:type="auto"/>
                  <w:vAlign w:val="center"/>
                  <w:hideMark/>
                </w:tcPr>
                <w:tbl>
                  <w:tblPr>
                    <w:tblW w:w="10118" w:type="dxa"/>
                    <w:tblCellSpacing w:w="0" w:type="dxa"/>
                    <w:tblCellMar>
                      <w:left w:w="0" w:type="dxa"/>
                      <w:right w:w="0" w:type="dxa"/>
                    </w:tblCellMar>
                    <w:tblLook w:val="04A0" w:firstRow="1" w:lastRow="0" w:firstColumn="1" w:lastColumn="0" w:noHBand="0" w:noVBand="1"/>
                  </w:tblPr>
                  <w:tblGrid>
                    <w:gridCol w:w="6018"/>
                    <w:gridCol w:w="85"/>
                    <w:gridCol w:w="4015"/>
                  </w:tblGrid>
                  <w:tr w:rsidR="006B0C64" w:rsidTr="004A1975">
                    <w:trPr>
                      <w:trHeight w:val="1227"/>
                      <w:tblCellSpacing w:w="0" w:type="dxa"/>
                    </w:trPr>
                    <w:tc>
                      <w:tcPr>
                        <w:tcW w:w="10118" w:type="dxa"/>
                        <w:gridSpan w:val="3"/>
                        <w:tcMar>
                          <w:top w:w="90" w:type="dxa"/>
                          <w:left w:w="90" w:type="dxa"/>
                          <w:bottom w:w="90" w:type="dxa"/>
                          <w:right w:w="90" w:type="dxa"/>
                        </w:tcMar>
                        <w:hideMark/>
                      </w:tcPr>
                      <w:p w:rsidR="006B0C64" w:rsidRDefault="006B0C64" w:rsidP="006B0C64">
                        <w:pPr>
                          <w:spacing w:before="120" w:after="0"/>
                        </w:pPr>
                        <w:r>
                          <w:rPr>
                            <w:rFonts w:ascii="Verdana" w:hAnsi="Verdana"/>
                            <w:color w:val="333333"/>
                            <w:sz w:val="18"/>
                            <w:szCs w:val="18"/>
                          </w:rPr>
                          <w:t>GDEE Project is pleased to announce the launch of nine online courses, aimed at increasing the competencies of European academics of engineering, technical and science subject to integrate principles of Sustainable Human Development into their teaching and research activities.</w:t>
                        </w:r>
                        <w:r>
                          <w:rPr>
                            <w:rStyle w:val="apple-converted-space"/>
                            <w:rFonts w:ascii="Verdana" w:hAnsi="Verdana"/>
                            <w:color w:val="333333"/>
                            <w:sz w:val="18"/>
                            <w:szCs w:val="18"/>
                          </w:rPr>
                          <w:t> </w:t>
                        </w:r>
                      </w:p>
                      <w:p w:rsidR="006B0C64" w:rsidRDefault="006B0C64" w:rsidP="006B0C64">
                        <w:pPr>
                          <w:pStyle w:val="Normlnweb"/>
                          <w:spacing w:before="120" w:beforeAutospacing="0" w:after="0" w:afterAutospacing="0"/>
                        </w:pPr>
                        <w:r>
                          <w:rPr>
                            <w:rFonts w:ascii="Verdana" w:hAnsi="Verdana"/>
                            <w:color w:val="333333"/>
                            <w:sz w:val="20"/>
                            <w:szCs w:val="20"/>
                          </w:rPr>
                          <w:t>Courses begin on the</w:t>
                        </w:r>
                        <w:r>
                          <w:rPr>
                            <w:rStyle w:val="apple-converted-space"/>
                            <w:rFonts w:ascii="Verdana" w:hAnsi="Verdana"/>
                            <w:color w:val="333333"/>
                            <w:sz w:val="20"/>
                            <w:szCs w:val="20"/>
                          </w:rPr>
                          <w:t> </w:t>
                        </w:r>
                        <w:r>
                          <w:rPr>
                            <w:rFonts w:ascii="Verdana" w:hAnsi="Verdana"/>
                            <w:b/>
                            <w:bCs/>
                            <w:color w:val="333333"/>
                            <w:sz w:val="20"/>
                            <w:szCs w:val="20"/>
                          </w:rPr>
                          <w:t>31st March, 2014</w:t>
                        </w:r>
                        <w:r>
                          <w:rPr>
                            <w:rFonts w:ascii="Verdana" w:hAnsi="Verdana"/>
                            <w:color w:val="333333"/>
                            <w:sz w:val="20"/>
                            <w:szCs w:val="20"/>
                          </w:rPr>
                          <w:t>.</w:t>
                        </w:r>
                        <w:r>
                          <w:rPr>
                            <w:rStyle w:val="apple-converted-space"/>
                            <w:rFonts w:ascii="Verdana" w:hAnsi="Verdana"/>
                            <w:color w:val="333333"/>
                            <w:sz w:val="20"/>
                            <w:szCs w:val="20"/>
                          </w:rPr>
                          <w:t> </w:t>
                        </w:r>
                        <w:r>
                          <w:rPr>
                            <w:rFonts w:ascii="Verdana" w:hAnsi="Verdana"/>
                            <w:color w:val="333333"/>
                            <w:sz w:val="18"/>
                            <w:szCs w:val="18"/>
                          </w:rPr>
                          <w:t>Full details of the courses are on the</w:t>
                        </w:r>
                        <w:r>
                          <w:rPr>
                            <w:rStyle w:val="apple-converted-space"/>
                            <w:rFonts w:ascii="Verdana" w:hAnsi="Verdana"/>
                            <w:color w:val="333333"/>
                            <w:sz w:val="18"/>
                            <w:szCs w:val="18"/>
                          </w:rPr>
                          <w:t> </w:t>
                        </w:r>
                        <w:hyperlink r:id="rId9" w:tgtFrame="_blank" w:history="1">
                          <w:r>
                            <w:rPr>
                              <w:rStyle w:val="Hypertextovodkaz"/>
                              <w:rFonts w:ascii="Verdana" w:hAnsi="Verdana"/>
                              <w:b/>
                              <w:bCs/>
                              <w:color w:val="548DD4"/>
                              <w:sz w:val="18"/>
                              <w:szCs w:val="18"/>
                              <w:u w:val="none"/>
                            </w:rPr>
                            <w:t>GDEE website</w:t>
                          </w:r>
                        </w:hyperlink>
                        <w:r>
                          <w:rPr>
                            <w:rFonts w:ascii="Verdana" w:hAnsi="Verdana"/>
                            <w:color w:val="333333"/>
                            <w:sz w:val="18"/>
                            <w:szCs w:val="18"/>
                          </w:rPr>
                          <w:t>!</w:t>
                        </w:r>
                      </w:p>
                    </w:tc>
                  </w:tr>
                  <w:tr w:rsidR="006B0C64" w:rsidTr="004A1975">
                    <w:trPr>
                      <w:trHeight w:val="2669"/>
                      <w:tblCellSpacing w:w="0" w:type="dxa"/>
                    </w:trPr>
                    <w:tc>
                      <w:tcPr>
                        <w:tcW w:w="6018" w:type="dxa"/>
                        <w:tcMar>
                          <w:top w:w="90" w:type="dxa"/>
                          <w:left w:w="90" w:type="dxa"/>
                          <w:bottom w:w="90" w:type="dxa"/>
                          <w:right w:w="0" w:type="dxa"/>
                        </w:tcMar>
                        <w:hideMark/>
                      </w:tcPr>
                      <w:p w:rsidR="006B0C64" w:rsidRDefault="006B0C64" w:rsidP="006B0C64">
                        <w:pPr>
                          <w:spacing w:before="120" w:after="0"/>
                          <w:rPr>
                            <w:sz w:val="24"/>
                            <w:szCs w:val="24"/>
                          </w:rPr>
                        </w:pPr>
                        <w:bookmarkStart w:id="0" w:name="_GoBack"/>
                        <w:r>
                          <w:rPr>
                            <w:rFonts w:ascii="Verdana" w:hAnsi="Verdana"/>
                            <w:b/>
                            <w:bCs/>
                            <w:color w:val="47BE41"/>
                          </w:rPr>
                          <w:t>Don't miss the GDEE courses opportunity!</w:t>
                        </w:r>
                        <w:r>
                          <w:br/>
                        </w:r>
                        <w:r>
                          <w:br/>
                        </w:r>
                        <w:r>
                          <w:rPr>
                            <w:rFonts w:ascii="Verdana" w:hAnsi="Verdana"/>
                            <w:color w:val="333333"/>
                            <w:sz w:val="20"/>
                            <w:szCs w:val="20"/>
                          </w:rPr>
                          <w:t>The online courses are free and open to all teachers or researchers in engineering, technical or science-based courses.   This is a unique opportunity to gain experience in a field of studies through interactive and engaging courses written by experts in the field of engineering education and development studies, as well as expand professional networks in this area!</w:t>
                        </w:r>
                        <w:bookmarkEnd w:id="0"/>
                      </w:p>
                    </w:tc>
                    <w:tc>
                      <w:tcPr>
                        <w:tcW w:w="85" w:type="dxa"/>
                        <w:vAlign w:val="center"/>
                        <w:hideMark/>
                      </w:tcPr>
                      <w:p w:rsidR="006B0C64" w:rsidRDefault="006B0C64" w:rsidP="006B0C64">
                        <w:pPr>
                          <w:spacing w:before="120" w:after="0"/>
                          <w:rPr>
                            <w:sz w:val="24"/>
                            <w:szCs w:val="24"/>
                          </w:rPr>
                        </w:pPr>
                        <w:r>
                          <w:rPr>
                            <w:noProof/>
                            <w:lang w:val="cs-CZ" w:eastAsia="cs-CZ"/>
                          </w:rPr>
                          <w:drawing>
                            <wp:inline distT="0" distB="0" distL="0" distR="0" wp14:anchorId="2CB1D436" wp14:editId="3D26E187">
                              <wp:extent cx="53340" cy="53340"/>
                              <wp:effectExtent l="0" t="0" r="0" b="0"/>
                              <wp:docPr id="2" name="Imagen 2" descr="https://i.emlfiles.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com/cmpimg/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53340"/>
                                      </a:xfrm>
                                      <a:prstGeom prst="rect">
                                        <a:avLst/>
                                      </a:prstGeom>
                                      <a:noFill/>
                                      <a:ln>
                                        <a:noFill/>
                                      </a:ln>
                                    </pic:spPr>
                                  </pic:pic>
                                </a:graphicData>
                              </a:graphic>
                            </wp:inline>
                          </w:drawing>
                        </w:r>
                      </w:p>
                    </w:tc>
                    <w:tc>
                      <w:tcPr>
                        <w:tcW w:w="4015" w:type="dxa"/>
                        <w:tcMar>
                          <w:top w:w="90" w:type="dxa"/>
                          <w:left w:w="0" w:type="dxa"/>
                          <w:bottom w:w="90" w:type="dxa"/>
                          <w:right w:w="90" w:type="dxa"/>
                        </w:tcMar>
                        <w:hideMark/>
                      </w:tcPr>
                      <w:p w:rsidR="006B0C64" w:rsidRDefault="006B0C64" w:rsidP="006B0C64">
                        <w:pPr>
                          <w:spacing w:before="120" w:after="0"/>
                          <w:rPr>
                            <w:sz w:val="24"/>
                            <w:szCs w:val="24"/>
                          </w:rPr>
                        </w:pPr>
                        <w:r>
                          <w:rPr>
                            <w:noProof/>
                            <w:lang w:val="cs-CZ" w:eastAsia="cs-CZ"/>
                          </w:rPr>
                          <w:drawing>
                            <wp:inline distT="0" distB="0" distL="0" distR="0" wp14:anchorId="17A6BD94" wp14:editId="72C39FD1">
                              <wp:extent cx="2243455" cy="1595120"/>
                              <wp:effectExtent l="0" t="0" r="0" b="0"/>
                              <wp:docPr id="1" name="Imagen 1" descr="https://i.emlfiles.com/cmpimg/6/5/9/8/files/imagecache/3753327/w236_4422741_picture2practical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com/cmpimg/6/5/9/8/files/imagecache/3753327/w236_4422741_picture2practicala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1595120"/>
                                      </a:xfrm>
                                      <a:prstGeom prst="rect">
                                        <a:avLst/>
                                      </a:prstGeom>
                                      <a:noFill/>
                                      <a:ln>
                                        <a:noFill/>
                                      </a:ln>
                                    </pic:spPr>
                                  </pic:pic>
                                </a:graphicData>
                              </a:graphic>
                            </wp:inline>
                          </w:drawing>
                        </w:r>
                      </w:p>
                    </w:tc>
                  </w:tr>
                  <w:tr w:rsidR="006B0C64" w:rsidTr="004A1975">
                    <w:trPr>
                      <w:trHeight w:val="1790"/>
                      <w:tblCellSpacing w:w="0" w:type="dxa"/>
                    </w:trPr>
                    <w:tc>
                      <w:tcPr>
                        <w:tcW w:w="10118" w:type="dxa"/>
                        <w:gridSpan w:val="3"/>
                        <w:tcMar>
                          <w:top w:w="90" w:type="dxa"/>
                          <w:left w:w="90" w:type="dxa"/>
                          <w:bottom w:w="90" w:type="dxa"/>
                          <w:right w:w="90" w:type="dxa"/>
                        </w:tcMar>
                        <w:hideMark/>
                      </w:tcPr>
                      <w:p w:rsidR="006B0C64" w:rsidRDefault="006B0C64" w:rsidP="006B0C64">
                        <w:pPr>
                          <w:spacing w:before="120" w:after="0"/>
                        </w:pPr>
                        <w:r>
                          <w:rPr>
                            <w:rFonts w:ascii="Verdana" w:hAnsi="Verdana"/>
                            <w:color w:val="333333"/>
                            <w:sz w:val="20"/>
                            <w:szCs w:val="20"/>
                          </w:rPr>
                          <w:t>The first three courses are part of the first thematic block –</w:t>
                        </w:r>
                        <w:r>
                          <w:rPr>
                            <w:rStyle w:val="apple-converted-space"/>
                            <w:rFonts w:ascii="Verdana" w:hAnsi="Verdana"/>
                            <w:color w:val="333333"/>
                            <w:sz w:val="20"/>
                            <w:szCs w:val="20"/>
                          </w:rPr>
                          <w:t> </w:t>
                        </w:r>
                        <w:r>
                          <w:rPr>
                            <w:rFonts w:ascii="Verdana" w:hAnsi="Verdana"/>
                            <w:b/>
                            <w:bCs/>
                            <w:color w:val="47BE41"/>
                          </w:rPr>
                          <w:t>The Global Engineer</w:t>
                        </w:r>
                        <w:r>
                          <w:rPr>
                            <w:rStyle w:val="apple-converted-space"/>
                            <w:rFonts w:ascii="Verdana" w:hAnsi="Verdana"/>
                            <w:color w:val="47BE41"/>
                          </w:rPr>
                          <w:t> </w:t>
                        </w:r>
                        <w:r>
                          <w:rPr>
                            <w:rFonts w:ascii="Verdana" w:hAnsi="Verdana"/>
                            <w:color w:val="333333"/>
                            <w:sz w:val="20"/>
                            <w:szCs w:val="20"/>
                          </w:rPr>
                          <w:t>– and are addressed to those academics that want to introduce cross-cutting issues in their teaching:</w:t>
                        </w:r>
                      </w:p>
                      <w:p w:rsidR="006B0C64" w:rsidRDefault="006B0C64" w:rsidP="006B0C64">
                        <w:pPr>
                          <w:pStyle w:val="Normlnweb"/>
                          <w:spacing w:before="120" w:beforeAutospacing="0" w:after="0" w:afterAutospacing="0"/>
                        </w:pPr>
                        <w:r>
                          <w:rPr>
                            <w:rFonts w:ascii="Verdana" w:hAnsi="Verdana"/>
                            <w:color w:val="333333"/>
                            <w:sz w:val="20"/>
                            <w:szCs w:val="20"/>
                          </w:rPr>
                          <w:t>Course 1:</w:t>
                        </w:r>
                        <w:r>
                          <w:rPr>
                            <w:rStyle w:val="apple-converted-space"/>
                            <w:rFonts w:ascii="Verdana" w:hAnsi="Verdana"/>
                            <w:color w:val="333333"/>
                            <w:sz w:val="20"/>
                            <w:szCs w:val="20"/>
                          </w:rPr>
                          <w:t> </w:t>
                        </w:r>
                        <w:hyperlink r:id="rId12" w:tgtFrame="_blank" w:history="1">
                          <w:r>
                            <w:rPr>
                              <w:rStyle w:val="Hypertextovodkaz"/>
                              <w:rFonts w:ascii="Verdana" w:hAnsi="Verdana"/>
                              <w:color w:val="548DD4"/>
                              <w:sz w:val="20"/>
                              <w:szCs w:val="20"/>
                              <w:u w:val="none"/>
                            </w:rPr>
                            <w:t>Making the case for a critical global engineer</w:t>
                          </w:r>
                        </w:hyperlink>
                        <w:r>
                          <w:rPr>
                            <w:rStyle w:val="apple-converted-space"/>
                            <w:rFonts w:ascii="Verdana" w:hAnsi="Verdana"/>
                            <w:color w:val="333333"/>
                            <w:sz w:val="20"/>
                            <w:szCs w:val="20"/>
                          </w:rPr>
                          <w:t> </w:t>
                        </w:r>
                        <w:r>
                          <w:rPr>
                            <w:rFonts w:ascii="Verdana" w:hAnsi="Verdana"/>
                            <w:color w:val="333333"/>
                            <w:sz w:val="20"/>
                            <w:szCs w:val="20"/>
                          </w:rPr>
                          <w:t>(starting date March 31</w:t>
                        </w:r>
                        <w:r>
                          <w:rPr>
                            <w:rFonts w:ascii="Verdana" w:hAnsi="Verdana"/>
                            <w:color w:val="333333"/>
                            <w:sz w:val="20"/>
                            <w:szCs w:val="20"/>
                            <w:vertAlign w:val="superscript"/>
                          </w:rPr>
                          <w:t>st</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2:</w:t>
                        </w:r>
                        <w:r>
                          <w:rPr>
                            <w:rStyle w:val="apple-converted-space"/>
                            <w:rFonts w:ascii="Verdana" w:hAnsi="Verdana"/>
                            <w:color w:val="333333"/>
                            <w:sz w:val="20"/>
                            <w:szCs w:val="20"/>
                          </w:rPr>
                          <w:t> </w:t>
                        </w:r>
                        <w:hyperlink r:id="rId13" w:tgtFrame="_blank" w:history="1">
                          <w:r>
                            <w:rPr>
                              <w:rStyle w:val="Hypertextovodkaz"/>
                              <w:rFonts w:ascii="Verdana" w:hAnsi="Verdana"/>
                              <w:color w:val="548DD4"/>
                              <w:sz w:val="20"/>
                              <w:szCs w:val="20"/>
                              <w:u w:val="none"/>
                            </w:rPr>
                            <w:t>Key elements for addressing the Global Dimension of engineering</w:t>
                          </w:r>
                        </w:hyperlink>
                        <w:r>
                          <w:rPr>
                            <w:rStyle w:val="apple-converted-space"/>
                            <w:rFonts w:ascii="Verdana" w:hAnsi="Verdana"/>
                            <w:color w:val="333333"/>
                            <w:sz w:val="20"/>
                            <w:szCs w:val="20"/>
                          </w:rPr>
                          <w:t> </w:t>
                        </w:r>
                        <w:r>
                          <w:rPr>
                            <w:rFonts w:ascii="Verdana" w:hAnsi="Verdana"/>
                            <w:color w:val="333333"/>
                            <w:sz w:val="20"/>
                            <w:szCs w:val="20"/>
                          </w:rPr>
                          <w:t>(April 21</w:t>
                        </w:r>
                        <w:r>
                          <w:rPr>
                            <w:rFonts w:ascii="Verdana" w:hAnsi="Verdana"/>
                            <w:color w:val="333333"/>
                            <w:sz w:val="20"/>
                            <w:szCs w:val="20"/>
                            <w:vertAlign w:val="superscript"/>
                          </w:rPr>
                          <w:t>st</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3:</w:t>
                        </w:r>
                        <w:r>
                          <w:rPr>
                            <w:rStyle w:val="apple-converted-space"/>
                            <w:rFonts w:ascii="Verdana" w:hAnsi="Verdana"/>
                            <w:color w:val="333333"/>
                            <w:sz w:val="20"/>
                            <w:szCs w:val="20"/>
                          </w:rPr>
                          <w:t> </w:t>
                        </w:r>
                        <w:hyperlink r:id="rId14" w:tgtFrame="_blank" w:history="1">
                          <w:r>
                            <w:rPr>
                              <w:rStyle w:val="Hypertextovodkaz"/>
                              <w:rFonts w:ascii="Verdana" w:hAnsi="Verdana"/>
                              <w:color w:val="548DD4"/>
                              <w:sz w:val="20"/>
                              <w:szCs w:val="20"/>
                              <w:u w:val="none"/>
                            </w:rPr>
                            <w:t>The Global Engineer in Sustainable Human Development</w:t>
                          </w:r>
                        </w:hyperlink>
                        <w:r>
                          <w:rPr>
                            <w:rStyle w:val="apple-converted-space"/>
                            <w:rFonts w:ascii="Verdana" w:hAnsi="Verdana"/>
                            <w:color w:val="333333"/>
                            <w:sz w:val="20"/>
                            <w:szCs w:val="20"/>
                          </w:rPr>
                          <w:t> </w:t>
                        </w:r>
                        <w:r>
                          <w:rPr>
                            <w:rFonts w:ascii="Verdana" w:hAnsi="Verdana"/>
                            <w:color w:val="333333"/>
                            <w:sz w:val="20"/>
                            <w:szCs w:val="20"/>
                          </w:rPr>
                          <w:t>(May 5</w:t>
                        </w:r>
                        <w:r>
                          <w:rPr>
                            <w:rFonts w:ascii="Verdana" w:hAnsi="Verdana"/>
                            <w:color w:val="333333"/>
                            <w:sz w:val="20"/>
                            <w:szCs w:val="20"/>
                            <w:vertAlign w:val="superscript"/>
                          </w:rPr>
                          <w:t>th</w:t>
                        </w:r>
                        <w:r>
                          <w:rPr>
                            <w:rFonts w:ascii="Verdana" w:hAnsi="Verdana"/>
                            <w:color w:val="333333"/>
                            <w:sz w:val="20"/>
                            <w:szCs w:val="20"/>
                          </w:rPr>
                          <w:t>)</w:t>
                        </w:r>
                      </w:p>
                    </w:tc>
                  </w:tr>
                  <w:tr w:rsidR="006B0C64" w:rsidTr="004A1975">
                    <w:trPr>
                      <w:trHeight w:val="1841"/>
                      <w:tblCellSpacing w:w="0" w:type="dxa"/>
                    </w:trPr>
                    <w:tc>
                      <w:tcPr>
                        <w:tcW w:w="10118" w:type="dxa"/>
                        <w:gridSpan w:val="3"/>
                        <w:tcMar>
                          <w:top w:w="90" w:type="dxa"/>
                          <w:left w:w="90" w:type="dxa"/>
                          <w:bottom w:w="90" w:type="dxa"/>
                          <w:right w:w="90" w:type="dxa"/>
                        </w:tcMar>
                        <w:hideMark/>
                      </w:tcPr>
                      <w:p w:rsidR="004A1975" w:rsidRDefault="006B0C64" w:rsidP="004A1975">
                        <w:pPr>
                          <w:pStyle w:val="Normlnweb"/>
                          <w:spacing w:before="120" w:beforeAutospacing="0" w:after="120" w:afterAutospacing="0"/>
                          <w:rPr>
                            <w:rFonts w:ascii="Verdana" w:hAnsi="Verdana"/>
                            <w:b/>
                            <w:bCs/>
                            <w:color w:val="47BE41"/>
                          </w:rPr>
                        </w:pPr>
                        <w:r>
                          <w:rPr>
                            <w:rFonts w:ascii="Verdana" w:hAnsi="Verdana"/>
                            <w:color w:val="333333"/>
                            <w:sz w:val="20"/>
                            <w:szCs w:val="20"/>
                          </w:rPr>
                          <w:t>During 2014 GDEE will launch six further courses focusing on the following themes:</w:t>
                        </w:r>
                      </w:p>
                      <w:p w:rsidR="006B0C64" w:rsidRPr="004A1975" w:rsidRDefault="006B0C64" w:rsidP="004A1975">
                        <w:pPr>
                          <w:pStyle w:val="Normlnweb"/>
                          <w:spacing w:before="120" w:beforeAutospacing="0" w:after="120" w:afterAutospacing="0"/>
                          <w:rPr>
                            <w:rFonts w:ascii="Verdana" w:hAnsi="Verdana"/>
                            <w:color w:val="333333"/>
                            <w:sz w:val="20"/>
                            <w:szCs w:val="20"/>
                          </w:rPr>
                        </w:pPr>
                        <w:r w:rsidRPr="006B0C64">
                          <w:rPr>
                            <w:rFonts w:ascii="Verdana" w:eastAsiaTheme="minorHAnsi" w:hAnsi="Verdana" w:cstheme="minorBidi"/>
                            <w:b/>
                            <w:bCs/>
                            <w:color w:val="47BE41"/>
                            <w:sz w:val="22"/>
                            <w:szCs w:val="22"/>
                            <w:lang w:eastAsia="en-US"/>
                          </w:rPr>
                          <w:t>Supervising BS/MS thesis with fieldwork</w:t>
                        </w:r>
                      </w:p>
                      <w:p w:rsidR="006B0C64" w:rsidRDefault="006B0C64" w:rsidP="006B0C64">
                        <w:pPr>
                          <w:pStyle w:val="Normlnweb"/>
                          <w:spacing w:before="120" w:beforeAutospacing="0" w:after="0" w:afterAutospacing="0"/>
                        </w:pPr>
                        <w:r>
                          <w:rPr>
                            <w:rFonts w:ascii="Verdana" w:hAnsi="Verdana"/>
                            <w:color w:val="333333"/>
                            <w:sz w:val="20"/>
                            <w:szCs w:val="20"/>
                          </w:rPr>
                          <w:t>Course 4: Supervising engineering students (starting date May 26</w:t>
                        </w:r>
                        <w:r>
                          <w:rPr>
                            <w:rFonts w:ascii="Verdana" w:hAnsi="Verdana"/>
                            <w:color w:val="333333"/>
                            <w:sz w:val="20"/>
                            <w:szCs w:val="20"/>
                            <w:vertAlign w:val="superscript"/>
                          </w:rPr>
                          <w:t>th</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5: Knowing the context and partners (starting date June 16</w:t>
                        </w:r>
                        <w:r>
                          <w:rPr>
                            <w:rFonts w:ascii="Verdana" w:hAnsi="Verdana"/>
                            <w:color w:val="333333"/>
                            <w:sz w:val="20"/>
                            <w:szCs w:val="20"/>
                            <w:vertAlign w:val="superscript"/>
                          </w:rPr>
                          <w:t>th</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6: Knowing International Cooperation (starting date July 7</w:t>
                        </w:r>
                        <w:r>
                          <w:rPr>
                            <w:rFonts w:ascii="Verdana" w:hAnsi="Verdana"/>
                            <w:color w:val="333333"/>
                            <w:sz w:val="20"/>
                            <w:szCs w:val="20"/>
                            <w:vertAlign w:val="superscript"/>
                          </w:rPr>
                          <w:t>th</w:t>
                        </w:r>
                        <w:r>
                          <w:rPr>
                            <w:rFonts w:ascii="Verdana" w:hAnsi="Verdana"/>
                            <w:color w:val="333333"/>
                            <w:sz w:val="20"/>
                            <w:szCs w:val="20"/>
                          </w:rPr>
                          <w:t>)</w:t>
                        </w:r>
                      </w:p>
                    </w:tc>
                  </w:tr>
                  <w:tr w:rsidR="006B0C64" w:rsidTr="004A1975">
                    <w:trPr>
                      <w:trHeight w:val="1873"/>
                      <w:tblCellSpacing w:w="0" w:type="dxa"/>
                    </w:trPr>
                    <w:tc>
                      <w:tcPr>
                        <w:tcW w:w="10118" w:type="dxa"/>
                        <w:gridSpan w:val="3"/>
                        <w:tcMar>
                          <w:top w:w="90" w:type="dxa"/>
                          <w:left w:w="90" w:type="dxa"/>
                          <w:bottom w:w="90" w:type="dxa"/>
                          <w:right w:w="90" w:type="dxa"/>
                        </w:tcMar>
                        <w:hideMark/>
                      </w:tcPr>
                      <w:p w:rsidR="006B0C64" w:rsidRDefault="006B0C64" w:rsidP="006B0C64">
                        <w:pPr>
                          <w:spacing w:before="120" w:after="0"/>
                        </w:pPr>
                        <w:r>
                          <w:rPr>
                            <w:rFonts w:ascii="Verdana" w:hAnsi="Verdana"/>
                            <w:b/>
                            <w:bCs/>
                            <w:color w:val="47BE41"/>
                          </w:rPr>
                          <w:t>Integrating GDE into teaching and research</w:t>
                        </w:r>
                      </w:p>
                      <w:p w:rsidR="006B0C64" w:rsidRDefault="006B0C64" w:rsidP="006B0C64">
                        <w:pPr>
                          <w:pStyle w:val="Normlnweb"/>
                          <w:spacing w:before="120" w:beforeAutospacing="0" w:after="0" w:afterAutospacing="0"/>
                        </w:pPr>
                        <w:r>
                          <w:rPr>
                            <w:rFonts w:ascii="Verdana" w:hAnsi="Verdana"/>
                            <w:color w:val="333333"/>
                            <w:sz w:val="20"/>
                            <w:szCs w:val="20"/>
                          </w:rPr>
                          <w:t>Course 7: Integrating GDE into the Academia (starting date September 8</w:t>
                        </w:r>
                        <w:r>
                          <w:rPr>
                            <w:rFonts w:ascii="Verdana" w:hAnsi="Verdana"/>
                            <w:color w:val="333333"/>
                            <w:sz w:val="20"/>
                            <w:szCs w:val="20"/>
                            <w:vertAlign w:val="superscript"/>
                          </w:rPr>
                          <w:t>th</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8: Integrating GDE into Teaching: Theory and Practice (starting date September 29</w:t>
                        </w:r>
                        <w:r>
                          <w:rPr>
                            <w:rFonts w:ascii="Verdana" w:hAnsi="Verdana"/>
                            <w:color w:val="333333"/>
                            <w:sz w:val="20"/>
                            <w:szCs w:val="20"/>
                            <w:vertAlign w:val="superscript"/>
                          </w:rPr>
                          <w:t>th</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Course 9: Integrating GDE into Research (starting date October 20</w:t>
                        </w:r>
                        <w:r>
                          <w:rPr>
                            <w:rFonts w:ascii="Verdana" w:hAnsi="Verdana"/>
                            <w:color w:val="333333"/>
                            <w:sz w:val="20"/>
                            <w:szCs w:val="20"/>
                            <w:vertAlign w:val="superscript"/>
                          </w:rPr>
                          <w:t>th</w:t>
                        </w:r>
                        <w:r>
                          <w:rPr>
                            <w:rFonts w:ascii="Verdana" w:hAnsi="Verdana"/>
                            <w:color w:val="333333"/>
                            <w:sz w:val="20"/>
                            <w:szCs w:val="20"/>
                          </w:rPr>
                          <w:t>)</w:t>
                        </w:r>
                      </w:p>
                      <w:p w:rsidR="006B0C64" w:rsidRDefault="006B0C64" w:rsidP="006B0C64">
                        <w:pPr>
                          <w:pStyle w:val="Normlnweb"/>
                          <w:spacing w:before="120" w:beforeAutospacing="0" w:after="0" w:afterAutospacing="0"/>
                        </w:pPr>
                        <w:r>
                          <w:rPr>
                            <w:rFonts w:ascii="Verdana" w:hAnsi="Verdana"/>
                            <w:color w:val="333333"/>
                            <w:sz w:val="20"/>
                            <w:szCs w:val="20"/>
                          </w:rPr>
                          <w:t>To find out more on the courses,</w:t>
                        </w:r>
                        <w:r>
                          <w:rPr>
                            <w:rStyle w:val="apple-converted-space"/>
                            <w:rFonts w:ascii="Verdana" w:hAnsi="Verdana"/>
                            <w:color w:val="333333"/>
                            <w:sz w:val="20"/>
                            <w:szCs w:val="20"/>
                          </w:rPr>
                          <w:t> </w:t>
                        </w:r>
                        <w:r>
                          <w:rPr>
                            <w:rFonts w:ascii="Verdana" w:hAnsi="Verdana"/>
                            <w:color w:val="333333"/>
                            <w:sz w:val="20"/>
                            <w:szCs w:val="20"/>
                          </w:rPr>
                          <w:t> </w:t>
                        </w:r>
                        <w:hyperlink r:id="rId15" w:tgtFrame="_blank" w:history="1">
                          <w:r>
                            <w:rPr>
                              <w:rStyle w:val="Hypertextovodkaz"/>
                              <w:rFonts w:ascii="Verdana" w:hAnsi="Verdana"/>
                              <w:b/>
                              <w:bCs/>
                              <w:color w:val="548DD4"/>
                              <w:sz w:val="18"/>
                              <w:szCs w:val="18"/>
                              <w:u w:val="none"/>
                            </w:rPr>
                            <w:t>Click here</w:t>
                          </w:r>
                        </w:hyperlink>
                      </w:p>
                    </w:tc>
                  </w:tr>
                  <w:tr w:rsidR="006B0C64" w:rsidTr="004A1975">
                    <w:trPr>
                      <w:trHeight w:val="2288"/>
                      <w:tblCellSpacing w:w="0" w:type="dxa"/>
                    </w:trPr>
                    <w:tc>
                      <w:tcPr>
                        <w:tcW w:w="10118" w:type="dxa"/>
                        <w:gridSpan w:val="3"/>
                        <w:tcMar>
                          <w:top w:w="90" w:type="dxa"/>
                          <w:left w:w="90" w:type="dxa"/>
                          <w:bottom w:w="90" w:type="dxa"/>
                          <w:right w:w="90" w:type="dxa"/>
                        </w:tcMar>
                        <w:hideMark/>
                      </w:tcPr>
                      <w:p w:rsidR="006B0C64" w:rsidRDefault="006B0C64" w:rsidP="006B0C64">
                        <w:pPr>
                          <w:spacing w:before="120" w:after="0"/>
                        </w:pPr>
                        <w:r>
                          <w:rPr>
                            <w:rFonts w:ascii="Verdana" w:hAnsi="Verdana"/>
                            <w:b/>
                            <w:bCs/>
                            <w:color w:val="47BE41"/>
                          </w:rPr>
                          <w:t>Register for your free spot on the course!</w:t>
                        </w:r>
                      </w:p>
                      <w:p w:rsidR="006B0C64" w:rsidRDefault="006B0C64" w:rsidP="006B0C64">
                        <w:pPr>
                          <w:pStyle w:val="Normlnweb"/>
                          <w:spacing w:before="120" w:beforeAutospacing="0" w:after="0" w:afterAutospacing="0"/>
                        </w:pPr>
                        <w:r>
                          <w:rPr>
                            <w:rFonts w:ascii="Verdana" w:hAnsi="Verdana"/>
                            <w:color w:val="333333"/>
                            <w:sz w:val="20"/>
                            <w:szCs w:val="20"/>
                          </w:rPr>
                          <w:t>Courses will be offered in three languages, to register or for additional information please contact:</w:t>
                        </w:r>
                      </w:p>
                      <w:p w:rsidR="006B0C64" w:rsidRDefault="006B0C64" w:rsidP="006B0C64">
                        <w:pPr>
                          <w:pStyle w:val="Normlnweb"/>
                          <w:spacing w:before="120" w:beforeAutospacing="0" w:after="0" w:afterAutospacing="0"/>
                        </w:pPr>
                        <w:r>
                          <w:rPr>
                            <w:rFonts w:ascii="Verdana" w:hAnsi="Verdana"/>
                            <w:color w:val="333333"/>
                            <w:sz w:val="20"/>
                            <w:szCs w:val="20"/>
                          </w:rPr>
                          <w:t xml:space="preserve">Spanish – Boris </w:t>
                        </w:r>
                        <w:proofErr w:type="spellStart"/>
                        <w:r>
                          <w:rPr>
                            <w:rFonts w:ascii="Verdana" w:hAnsi="Verdana"/>
                            <w:color w:val="333333"/>
                            <w:sz w:val="20"/>
                            <w:szCs w:val="20"/>
                          </w:rPr>
                          <w:t>Lazzarini</w:t>
                        </w:r>
                        <w:proofErr w:type="spellEnd"/>
                        <w:r>
                          <w:rPr>
                            <w:rFonts w:ascii="Verdana" w:hAnsi="Verdana"/>
                            <w:color w:val="333333"/>
                            <w:sz w:val="20"/>
                            <w:szCs w:val="20"/>
                          </w:rPr>
                          <w:t>:</w:t>
                        </w:r>
                        <w:r>
                          <w:rPr>
                            <w:rStyle w:val="apple-converted-space"/>
                            <w:rFonts w:ascii="Verdana" w:hAnsi="Verdana"/>
                            <w:color w:val="333333"/>
                            <w:sz w:val="20"/>
                            <w:szCs w:val="20"/>
                          </w:rPr>
                          <w:t> </w:t>
                        </w:r>
                        <w:hyperlink r:id="rId16" w:tgtFrame="_blank" w:history="1">
                          <w:r>
                            <w:rPr>
                              <w:rStyle w:val="Hypertextovodkaz"/>
                              <w:rFonts w:ascii="Verdana" w:hAnsi="Verdana"/>
                              <w:color w:val="548DD4"/>
                              <w:sz w:val="20"/>
                              <w:szCs w:val="20"/>
                              <w:u w:val="none"/>
                            </w:rPr>
                            <w:t>boris.lazzarini@upc.edu</w:t>
                          </w:r>
                        </w:hyperlink>
                        <w:r>
                          <w:rPr>
                            <w:rStyle w:val="apple-converted-space"/>
                            <w:rFonts w:ascii="Verdana" w:hAnsi="Verdana"/>
                            <w:color w:val="333333"/>
                            <w:sz w:val="20"/>
                            <w:szCs w:val="20"/>
                          </w:rPr>
                          <w:t> </w:t>
                        </w:r>
                        <w:r>
                          <w:rPr>
                            <w:rFonts w:ascii="Verdana" w:hAnsi="Verdana"/>
                            <w:color w:val="333333"/>
                            <w:sz w:val="20"/>
                            <w:szCs w:val="20"/>
                          </w:rPr>
                          <w:t>or visit the webpage “</w:t>
                        </w:r>
                        <w:proofErr w:type="spellStart"/>
                        <w:r>
                          <w:rPr>
                            <w:rStyle w:val="object"/>
                            <w:rFonts w:ascii="Verdana" w:hAnsi="Verdana"/>
                            <w:color w:val="336699"/>
                            <w:sz w:val="20"/>
                            <w:szCs w:val="20"/>
                          </w:rPr>
                          <w:fldChar w:fldCharType="begin"/>
                        </w:r>
                        <w:r>
                          <w:rPr>
                            <w:rStyle w:val="object"/>
                            <w:rFonts w:ascii="Verdana" w:hAnsi="Verdana"/>
                            <w:color w:val="336699"/>
                            <w:sz w:val="20"/>
                            <w:szCs w:val="20"/>
                          </w:rPr>
                          <w:instrText xml:space="preserve"> HYPERLINK "http://practical-action.org/6WS-28G33-E152HU-Y849K-1/c.aspx" \t "_blank" </w:instrText>
                        </w:r>
                        <w:r>
                          <w:rPr>
                            <w:rStyle w:val="object"/>
                            <w:rFonts w:ascii="Verdana" w:hAnsi="Verdana"/>
                            <w:color w:val="336699"/>
                            <w:sz w:val="20"/>
                            <w:szCs w:val="20"/>
                          </w:rPr>
                          <w:fldChar w:fldCharType="separate"/>
                        </w:r>
                        <w:r>
                          <w:rPr>
                            <w:rStyle w:val="Hypertextovodkaz"/>
                            <w:rFonts w:ascii="Verdana" w:hAnsi="Verdana"/>
                            <w:color w:val="548DD4"/>
                            <w:sz w:val="20"/>
                            <w:szCs w:val="20"/>
                            <w:u w:val="none"/>
                          </w:rPr>
                          <w:t>Cursos</w:t>
                        </w:r>
                        <w:proofErr w:type="spellEnd"/>
                        <w:r>
                          <w:rPr>
                            <w:rStyle w:val="Hypertextovodkaz"/>
                            <w:rFonts w:ascii="Verdana" w:hAnsi="Verdana"/>
                            <w:color w:val="548DD4"/>
                            <w:sz w:val="20"/>
                            <w:szCs w:val="20"/>
                            <w:u w:val="none"/>
                          </w:rPr>
                          <w:t xml:space="preserve"> GDEE</w:t>
                        </w:r>
                        <w:r>
                          <w:rPr>
                            <w:rStyle w:val="object"/>
                            <w:rFonts w:ascii="Verdana" w:hAnsi="Verdana"/>
                            <w:color w:val="336699"/>
                            <w:sz w:val="20"/>
                            <w:szCs w:val="20"/>
                          </w:rPr>
                          <w:fldChar w:fldCharType="end"/>
                        </w:r>
                        <w:r>
                          <w:rPr>
                            <w:rFonts w:ascii="Verdana" w:hAnsi="Verdana"/>
                            <w:color w:val="333333"/>
                            <w:sz w:val="20"/>
                            <w:szCs w:val="20"/>
                          </w:rPr>
                          <w:t>”</w:t>
                        </w:r>
                      </w:p>
                      <w:p w:rsidR="006B0C64" w:rsidRPr="006B0C64" w:rsidRDefault="006B0C64" w:rsidP="006B0C64">
                        <w:pPr>
                          <w:pStyle w:val="Normlnweb"/>
                          <w:spacing w:before="120" w:beforeAutospacing="0" w:after="0" w:afterAutospacing="0"/>
                          <w:rPr>
                            <w:lang w:val="es-ES"/>
                          </w:rPr>
                        </w:pPr>
                        <w:r w:rsidRPr="006B0C64">
                          <w:rPr>
                            <w:rFonts w:ascii="Verdana" w:hAnsi="Verdana"/>
                            <w:color w:val="333333"/>
                            <w:sz w:val="20"/>
                            <w:szCs w:val="20"/>
                            <w:lang w:val="es-ES"/>
                          </w:rPr>
                          <w:t>Italian – Gabriella Trombino:</w:t>
                        </w:r>
                        <w:r w:rsidRPr="006B0C64">
                          <w:rPr>
                            <w:rStyle w:val="apple-converted-space"/>
                            <w:rFonts w:ascii="Verdana" w:hAnsi="Verdana"/>
                            <w:color w:val="333333"/>
                            <w:sz w:val="20"/>
                            <w:szCs w:val="20"/>
                            <w:lang w:val="es-ES"/>
                          </w:rPr>
                          <w:t> </w:t>
                        </w:r>
                        <w:hyperlink r:id="rId17" w:tgtFrame="_blank" w:history="1">
                          <w:r w:rsidRPr="006B0C64">
                            <w:rPr>
                              <w:rStyle w:val="Hypertextovodkaz"/>
                              <w:rFonts w:ascii="Verdana" w:hAnsi="Verdana"/>
                              <w:color w:val="548DD4"/>
                              <w:sz w:val="20"/>
                              <w:szCs w:val="20"/>
                              <w:u w:val="none"/>
                              <w:lang w:val="es-ES"/>
                            </w:rPr>
                            <w:t>gabriella.trombino@unitn.it</w:t>
                          </w:r>
                        </w:hyperlink>
                      </w:p>
                      <w:p w:rsidR="006B0C64" w:rsidRDefault="006B0C64" w:rsidP="006B0C64">
                        <w:pPr>
                          <w:pStyle w:val="Normlnweb"/>
                          <w:spacing w:before="120" w:beforeAutospacing="0" w:after="0" w:afterAutospacing="0"/>
                        </w:pPr>
                        <w:r>
                          <w:rPr>
                            <w:rFonts w:ascii="Verdana" w:hAnsi="Verdana"/>
                            <w:color w:val="333333"/>
                            <w:sz w:val="20"/>
                            <w:szCs w:val="20"/>
                          </w:rPr>
                          <w:t xml:space="preserve">English – Emily </w:t>
                        </w:r>
                        <w:proofErr w:type="spellStart"/>
                        <w:r>
                          <w:rPr>
                            <w:rFonts w:ascii="Verdana" w:hAnsi="Verdana"/>
                            <w:color w:val="333333"/>
                            <w:sz w:val="20"/>
                            <w:szCs w:val="20"/>
                          </w:rPr>
                          <w:t>Mattiussi</w:t>
                        </w:r>
                        <w:proofErr w:type="spellEnd"/>
                        <w:r>
                          <w:rPr>
                            <w:rFonts w:ascii="Verdana" w:hAnsi="Verdana"/>
                            <w:color w:val="333333"/>
                            <w:sz w:val="20"/>
                            <w:szCs w:val="20"/>
                          </w:rPr>
                          <w:t>:</w:t>
                        </w:r>
                        <w:r>
                          <w:rPr>
                            <w:rStyle w:val="apple-converted-space"/>
                            <w:rFonts w:ascii="Verdana" w:hAnsi="Verdana"/>
                            <w:color w:val="333333"/>
                            <w:sz w:val="20"/>
                            <w:szCs w:val="20"/>
                          </w:rPr>
                          <w:t> </w:t>
                        </w:r>
                        <w:hyperlink r:id="rId18" w:tgtFrame="_blank" w:history="1">
                          <w:r>
                            <w:rPr>
                              <w:rStyle w:val="Hypertextovodkaz"/>
                              <w:rFonts w:ascii="Verdana" w:hAnsi="Verdana"/>
                              <w:color w:val="548DD4"/>
                              <w:sz w:val="20"/>
                              <w:szCs w:val="20"/>
                              <w:u w:val="none"/>
                            </w:rPr>
                            <w:t>emily.mattiussi@ewb-uk.org</w:t>
                          </w:r>
                        </w:hyperlink>
                        <w:r>
                          <w:rPr>
                            <w:rStyle w:val="apple-converted-space"/>
                          </w:rPr>
                          <w:t> </w:t>
                        </w:r>
                        <w:r>
                          <w:t>   </w:t>
                        </w:r>
                      </w:p>
                      <w:p w:rsidR="006B0C64" w:rsidRDefault="006B0C64" w:rsidP="006B0C64">
                        <w:pPr>
                          <w:pStyle w:val="Normlnweb"/>
                          <w:spacing w:before="120" w:beforeAutospacing="0" w:after="0" w:afterAutospacing="0"/>
                        </w:pPr>
                        <w:r>
                          <w:rPr>
                            <w:rFonts w:ascii="Calibri" w:hAnsi="Calibri" w:cs="Calibri"/>
                            <w:sz w:val="22"/>
                            <w:szCs w:val="22"/>
                          </w:rPr>
                          <w:t>For more information on the GDEE Project and other initiatives, please contact:</w:t>
                        </w:r>
                        <w:r>
                          <w:rPr>
                            <w:rStyle w:val="apple-converted-space"/>
                            <w:rFonts w:ascii="Calibri" w:hAnsi="Calibri" w:cs="Calibri"/>
                            <w:sz w:val="22"/>
                            <w:szCs w:val="22"/>
                          </w:rPr>
                          <w:t> </w:t>
                        </w:r>
                        <w:hyperlink r:id="rId19" w:tgtFrame="_blank" w:history="1">
                          <w:r>
                            <w:rPr>
                              <w:rStyle w:val="Hypertextovodkaz"/>
                              <w:rFonts w:ascii="Calibri" w:hAnsi="Calibri" w:cs="Calibri"/>
                              <w:color w:val="548DD4"/>
                              <w:sz w:val="22"/>
                              <w:szCs w:val="22"/>
                              <w:u w:val="none"/>
                            </w:rPr>
                            <w:t>info@gdee.eu</w:t>
                          </w:r>
                        </w:hyperlink>
                      </w:p>
                    </w:tc>
                  </w:tr>
                </w:tbl>
                <w:p w:rsidR="006B0C64" w:rsidRDefault="006B0C64" w:rsidP="006B0C64">
                  <w:pPr>
                    <w:spacing w:before="120" w:after="0"/>
                    <w:rPr>
                      <w:sz w:val="24"/>
                      <w:szCs w:val="24"/>
                    </w:rPr>
                  </w:pPr>
                </w:p>
              </w:tc>
            </w:tr>
          </w:tbl>
          <w:p w:rsidR="006B0C64" w:rsidRDefault="006B0C64" w:rsidP="006B0C64">
            <w:pPr>
              <w:spacing w:before="120" w:after="0"/>
              <w:rPr>
                <w:sz w:val="24"/>
                <w:szCs w:val="24"/>
              </w:rPr>
            </w:pPr>
          </w:p>
        </w:tc>
      </w:tr>
    </w:tbl>
    <w:p w:rsidR="003F5906" w:rsidRPr="003F5906" w:rsidRDefault="003F5906" w:rsidP="004A1975">
      <w:pPr>
        <w:pStyle w:val="normal1"/>
        <w:spacing w:before="0" w:beforeAutospacing="0" w:after="200" w:afterAutospacing="0" w:line="276" w:lineRule="auto"/>
        <w:jc w:val="both"/>
        <w:rPr>
          <w:rFonts w:ascii="Verdana" w:hAnsi="Verdana" w:cs="Helvetica"/>
          <w:color w:val="555555"/>
          <w:szCs w:val="22"/>
          <w:lang w:val="en-US"/>
        </w:rPr>
      </w:pPr>
    </w:p>
    <w:sectPr w:rsidR="003F5906" w:rsidRPr="003F5906" w:rsidSect="006D34C3">
      <w:headerReference w:type="default" r:id="rId20"/>
      <w:pgSz w:w="11906" w:h="16838"/>
      <w:pgMar w:top="567"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D6" w:rsidRDefault="00F806D6" w:rsidP="00EF62ED">
      <w:pPr>
        <w:spacing w:after="0" w:line="240" w:lineRule="auto"/>
      </w:pPr>
      <w:r>
        <w:separator/>
      </w:r>
    </w:p>
  </w:endnote>
  <w:endnote w:type="continuationSeparator" w:id="0">
    <w:p w:rsidR="00F806D6" w:rsidRDefault="00F806D6" w:rsidP="00EF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D6" w:rsidRDefault="00F806D6" w:rsidP="00EF62ED">
      <w:pPr>
        <w:spacing w:after="0" w:line="240" w:lineRule="auto"/>
      </w:pPr>
      <w:r>
        <w:separator/>
      </w:r>
    </w:p>
  </w:footnote>
  <w:footnote w:type="continuationSeparator" w:id="0">
    <w:p w:rsidR="00F806D6" w:rsidRDefault="00F806D6" w:rsidP="00EF6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ED" w:rsidRDefault="00EF62ED" w:rsidP="00EF62ED">
    <w:pPr>
      <w:pStyle w:val="Zhlav"/>
      <w:tabs>
        <w:tab w:val="clear" w:pos="4252"/>
        <w:tab w:val="clear" w:pos="8504"/>
        <w:tab w:val="left" w:pos="7702"/>
      </w:tabs>
    </w:pPr>
    <w:r>
      <w:rPr>
        <w:noProof/>
        <w:lang w:val="cs-CZ" w:eastAsia="cs-CZ"/>
      </w:rPr>
      <w:drawing>
        <wp:anchor distT="0" distB="0" distL="114300" distR="114300" simplePos="0" relativeHeight="251658240" behindDoc="0" locked="0" layoutInCell="1" allowOverlap="1" wp14:anchorId="41F1A13A" wp14:editId="6DC2F746">
          <wp:simplePos x="0" y="0"/>
          <wp:positionH relativeFrom="column">
            <wp:posOffset>-404658</wp:posOffset>
          </wp:positionH>
          <wp:positionV relativeFrom="paragraph">
            <wp:posOffset>-173355</wp:posOffset>
          </wp:positionV>
          <wp:extent cx="3152775" cy="799465"/>
          <wp:effectExtent l="0" t="0" r="0" b="0"/>
          <wp:wrapNone/>
          <wp:docPr id="9" name="Imatge 3" descr="GDEEcolorH.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GDEEcolor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799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5F5825">
      <w:rPr>
        <w:noProof/>
        <w:lang w:val="cs-CZ" w:eastAsia="cs-CZ"/>
      </w:rPr>
      <w:drawing>
        <wp:inline distT="0" distB="0" distL="0" distR="0" wp14:anchorId="6B952406" wp14:editId="5393F416">
          <wp:extent cx="824746" cy="503767"/>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746" cy="503767"/>
                  </a:xfrm>
                  <a:prstGeom prst="rect">
                    <a:avLst/>
                  </a:prstGeom>
                  <a:noFill/>
                  <a:ln>
                    <a:noFill/>
                  </a:ln>
                </pic:spPr>
              </pic:pic>
            </a:graphicData>
          </a:graphic>
        </wp:inline>
      </w:drawing>
    </w:r>
  </w:p>
  <w:p w:rsidR="00EF62ED" w:rsidRDefault="00EF62ED">
    <w:pPr>
      <w:pStyle w:val="Zhlav"/>
    </w:pPr>
  </w:p>
  <w:p w:rsidR="005F5825" w:rsidRDefault="005F58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5C3"/>
    <w:multiLevelType w:val="hybridMultilevel"/>
    <w:tmpl w:val="19726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E6"/>
    <w:rsid w:val="000136D9"/>
    <w:rsid w:val="000A6860"/>
    <w:rsid w:val="000D2056"/>
    <w:rsid w:val="00165774"/>
    <w:rsid w:val="0018612A"/>
    <w:rsid w:val="001A15C8"/>
    <w:rsid w:val="001A792E"/>
    <w:rsid w:val="001B778F"/>
    <w:rsid w:val="001F4CED"/>
    <w:rsid w:val="001F7DB7"/>
    <w:rsid w:val="00230F6C"/>
    <w:rsid w:val="002B3E10"/>
    <w:rsid w:val="00310F40"/>
    <w:rsid w:val="00326828"/>
    <w:rsid w:val="0033067E"/>
    <w:rsid w:val="0033661A"/>
    <w:rsid w:val="003501B0"/>
    <w:rsid w:val="003743A7"/>
    <w:rsid w:val="00382793"/>
    <w:rsid w:val="003E24B4"/>
    <w:rsid w:val="003F0B1F"/>
    <w:rsid w:val="003F5906"/>
    <w:rsid w:val="00451056"/>
    <w:rsid w:val="00453F44"/>
    <w:rsid w:val="004A1975"/>
    <w:rsid w:val="004B3838"/>
    <w:rsid w:val="004E71F9"/>
    <w:rsid w:val="004F43E1"/>
    <w:rsid w:val="00500C23"/>
    <w:rsid w:val="005025E1"/>
    <w:rsid w:val="0050743B"/>
    <w:rsid w:val="005143A4"/>
    <w:rsid w:val="005264C0"/>
    <w:rsid w:val="00532282"/>
    <w:rsid w:val="00552866"/>
    <w:rsid w:val="0057188C"/>
    <w:rsid w:val="00590F3B"/>
    <w:rsid w:val="005C5E68"/>
    <w:rsid w:val="005F245D"/>
    <w:rsid w:val="005F5825"/>
    <w:rsid w:val="00610E16"/>
    <w:rsid w:val="006114FF"/>
    <w:rsid w:val="0063332F"/>
    <w:rsid w:val="00634505"/>
    <w:rsid w:val="00663A2A"/>
    <w:rsid w:val="0067523B"/>
    <w:rsid w:val="006851EC"/>
    <w:rsid w:val="006939B3"/>
    <w:rsid w:val="006A2160"/>
    <w:rsid w:val="006B0C64"/>
    <w:rsid w:val="006C7942"/>
    <w:rsid w:val="006D34C3"/>
    <w:rsid w:val="006E07E6"/>
    <w:rsid w:val="0070564E"/>
    <w:rsid w:val="00734D4A"/>
    <w:rsid w:val="00796AE4"/>
    <w:rsid w:val="007C61AF"/>
    <w:rsid w:val="007E6194"/>
    <w:rsid w:val="007F1C2F"/>
    <w:rsid w:val="008D60B2"/>
    <w:rsid w:val="008E2B76"/>
    <w:rsid w:val="008E74F2"/>
    <w:rsid w:val="0092064B"/>
    <w:rsid w:val="0092633C"/>
    <w:rsid w:val="00954E5E"/>
    <w:rsid w:val="009D1186"/>
    <w:rsid w:val="009D7D87"/>
    <w:rsid w:val="00A06F7A"/>
    <w:rsid w:val="00A105DD"/>
    <w:rsid w:val="00A17A26"/>
    <w:rsid w:val="00A53CBE"/>
    <w:rsid w:val="00A54E20"/>
    <w:rsid w:val="00AD7A90"/>
    <w:rsid w:val="00B1289A"/>
    <w:rsid w:val="00B411F3"/>
    <w:rsid w:val="00B82CD2"/>
    <w:rsid w:val="00BB3D70"/>
    <w:rsid w:val="00BC0861"/>
    <w:rsid w:val="00BC5295"/>
    <w:rsid w:val="00C47FF0"/>
    <w:rsid w:val="00C51449"/>
    <w:rsid w:val="00C711DE"/>
    <w:rsid w:val="00CA5455"/>
    <w:rsid w:val="00CF67F4"/>
    <w:rsid w:val="00D11658"/>
    <w:rsid w:val="00D32735"/>
    <w:rsid w:val="00D74E96"/>
    <w:rsid w:val="00DD052E"/>
    <w:rsid w:val="00E16097"/>
    <w:rsid w:val="00E25EA7"/>
    <w:rsid w:val="00E503B7"/>
    <w:rsid w:val="00E76337"/>
    <w:rsid w:val="00E95703"/>
    <w:rsid w:val="00EA2DCB"/>
    <w:rsid w:val="00EF62ED"/>
    <w:rsid w:val="00F23FC4"/>
    <w:rsid w:val="00F437E1"/>
    <w:rsid w:val="00F51BB0"/>
    <w:rsid w:val="00F56B29"/>
    <w:rsid w:val="00F806D6"/>
    <w:rsid w:val="00F851DA"/>
    <w:rsid w:val="00FD7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D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9D7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B3D70"/>
    <w:rPr>
      <w:color w:val="0000FF" w:themeColor="hyperlink"/>
      <w:u w:val="single"/>
    </w:rPr>
  </w:style>
  <w:style w:type="paragraph" w:styleId="Textbubliny">
    <w:name w:val="Balloon Text"/>
    <w:basedOn w:val="Normln"/>
    <w:link w:val="TextodegloboCar"/>
    <w:uiPriority w:val="99"/>
    <w:semiHidden/>
    <w:unhideWhenUsed/>
    <w:rsid w:val="00D74E96"/>
    <w:pPr>
      <w:spacing w:after="0" w:line="240" w:lineRule="auto"/>
    </w:pPr>
    <w:rPr>
      <w:rFonts w:ascii="Lucida Grande" w:hAnsi="Lucida Grande"/>
      <w:sz w:val="18"/>
      <w:szCs w:val="18"/>
    </w:rPr>
  </w:style>
  <w:style w:type="character" w:customStyle="1" w:styleId="TextodegloboCar">
    <w:name w:val="Texto de globo Car"/>
    <w:basedOn w:val="Standardnpsmoodstavce"/>
    <w:link w:val="Textbubliny"/>
    <w:uiPriority w:val="99"/>
    <w:semiHidden/>
    <w:rsid w:val="00D74E96"/>
    <w:rPr>
      <w:rFonts w:ascii="Lucida Grande" w:hAnsi="Lucida Grande"/>
      <w:sz w:val="18"/>
      <w:szCs w:val="18"/>
    </w:rPr>
  </w:style>
  <w:style w:type="character" w:styleId="Odkaznakoment">
    <w:name w:val="annotation reference"/>
    <w:basedOn w:val="Standardnpsmoodstavce"/>
    <w:uiPriority w:val="99"/>
    <w:semiHidden/>
    <w:unhideWhenUsed/>
    <w:rsid w:val="00590F3B"/>
    <w:rPr>
      <w:sz w:val="16"/>
      <w:szCs w:val="16"/>
    </w:rPr>
  </w:style>
  <w:style w:type="paragraph" w:styleId="Textkomente">
    <w:name w:val="annotation text"/>
    <w:basedOn w:val="Normln"/>
    <w:link w:val="TextocomentarioCar"/>
    <w:uiPriority w:val="99"/>
    <w:semiHidden/>
    <w:unhideWhenUsed/>
    <w:rsid w:val="00590F3B"/>
    <w:pPr>
      <w:spacing w:line="240" w:lineRule="auto"/>
    </w:pPr>
    <w:rPr>
      <w:sz w:val="20"/>
      <w:szCs w:val="20"/>
    </w:rPr>
  </w:style>
  <w:style w:type="character" w:customStyle="1" w:styleId="TextocomentarioCar">
    <w:name w:val="Texto comentario Car"/>
    <w:basedOn w:val="Standardnpsmoodstavce"/>
    <w:link w:val="Textkomente"/>
    <w:uiPriority w:val="99"/>
    <w:semiHidden/>
    <w:rsid w:val="00590F3B"/>
    <w:rPr>
      <w:sz w:val="20"/>
      <w:szCs w:val="20"/>
    </w:rPr>
  </w:style>
  <w:style w:type="paragraph" w:styleId="Pedmtkomente">
    <w:name w:val="annotation subject"/>
    <w:basedOn w:val="Textkomente"/>
    <w:next w:val="Textkomente"/>
    <w:link w:val="AsuntodelcomentarioCar"/>
    <w:uiPriority w:val="99"/>
    <w:semiHidden/>
    <w:unhideWhenUsed/>
    <w:rsid w:val="00590F3B"/>
    <w:rPr>
      <w:b/>
      <w:bCs/>
    </w:rPr>
  </w:style>
  <w:style w:type="character" w:customStyle="1" w:styleId="AsuntodelcomentarioCar">
    <w:name w:val="Asunto del comentario Car"/>
    <w:basedOn w:val="TextocomentarioCar"/>
    <w:link w:val="Pedmtkomente"/>
    <w:uiPriority w:val="99"/>
    <w:semiHidden/>
    <w:rsid w:val="00590F3B"/>
    <w:rPr>
      <w:b/>
      <w:bCs/>
      <w:sz w:val="20"/>
      <w:szCs w:val="20"/>
    </w:rPr>
  </w:style>
  <w:style w:type="paragraph" w:styleId="Revize">
    <w:name w:val="Revision"/>
    <w:hidden/>
    <w:uiPriority w:val="99"/>
    <w:semiHidden/>
    <w:rsid w:val="0033067E"/>
    <w:pPr>
      <w:spacing w:after="0" w:line="240" w:lineRule="auto"/>
    </w:pPr>
  </w:style>
  <w:style w:type="character" w:styleId="Sledovanodkaz">
    <w:name w:val="FollowedHyperlink"/>
    <w:basedOn w:val="Standardnpsmoodstavce"/>
    <w:uiPriority w:val="99"/>
    <w:semiHidden/>
    <w:unhideWhenUsed/>
    <w:rsid w:val="004F43E1"/>
    <w:rPr>
      <w:color w:val="800080" w:themeColor="followedHyperlink"/>
      <w:u w:val="single"/>
    </w:rPr>
  </w:style>
  <w:style w:type="character" w:customStyle="1" w:styleId="apple-converted-space">
    <w:name w:val="apple-converted-space"/>
    <w:basedOn w:val="Standardnpsmoodstavce"/>
    <w:rsid w:val="00230F6C"/>
  </w:style>
  <w:style w:type="character" w:styleId="Siln">
    <w:name w:val="Strong"/>
    <w:basedOn w:val="Standardnpsmoodstavce"/>
    <w:uiPriority w:val="22"/>
    <w:qFormat/>
    <w:rsid w:val="00230F6C"/>
    <w:rPr>
      <w:b/>
      <w:bCs/>
    </w:rPr>
  </w:style>
  <w:style w:type="paragraph" w:styleId="Zhlav">
    <w:name w:val="header"/>
    <w:basedOn w:val="Normln"/>
    <w:link w:val="EncabezadoCar"/>
    <w:uiPriority w:val="99"/>
    <w:rsid w:val="0070564E"/>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Standardnpsmoodstavce"/>
    <w:link w:val="Zhlav"/>
    <w:uiPriority w:val="99"/>
    <w:rsid w:val="0070564E"/>
    <w:rPr>
      <w:rFonts w:ascii="Calibri" w:eastAsia="Calibri" w:hAnsi="Calibri" w:cs="Times New Roman"/>
      <w:lang w:val="es-ES"/>
    </w:rPr>
  </w:style>
  <w:style w:type="paragraph" w:styleId="Zpat">
    <w:name w:val="footer"/>
    <w:basedOn w:val="Normln"/>
    <w:link w:val="ZpatChar"/>
    <w:uiPriority w:val="99"/>
    <w:unhideWhenUsed/>
    <w:rsid w:val="00EF62ED"/>
    <w:pPr>
      <w:tabs>
        <w:tab w:val="center" w:pos="4252"/>
        <w:tab w:val="right" w:pos="8504"/>
      </w:tabs>
      <w:spacing w:after="0" w:line="240" w:lineRule="auto"/>
    </w:pPr>
  </w:style>
  <w:style w:type="character" w:customStyle="1" w:styleId="ZpatChar">
    <w:name w:val="Zápatí Char"/>
    <w:basedOn w:val="Standardnpsmoodstavce"/>
    <w:link w:val="Zpat"/>
    <w:uiPriority w:val="99"/>
    <w:rsid w:val="00EF62ED"/>
  </w:style>
  <w:style w:type="paragraph" w:customStyle="1" w:styleId="normal1">
    <w:name w:val="normal1"/>
    <w:basedOn w:val="Normln"/>
    <w:rsid w:val="003F59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object">
    <w:name w:val="object"/>
    <w:basedOn w:val="Standardnpsmoodstavce"/>
    <w:rsid w:val="006B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D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9D7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B3D70"/>
    <w:rPr>
      <w:color w:val="0000FF" w:themeColor="hyperlink"/>
      <w:u w:val="single"/>
    </w:rPr>
  </w:style>
  <w:style w:type="paragraph" w:styleId="Textbubliny">
    <w:name w:val="Balloon Text"/>
    <w:basedOn w:val="Normln"/>
    <w:link w:val="TextodegloboCar"/>
    <w:uiPriority w:val="99"/>
    <w:semiHidden/>
    <w:unhideWhenUsed/>
    <w:rsid w:val="00D74E96"/>
    <w:pPr>
      <w:spacing w:after="0" w:line="240" w:lineRule="auto"/>
    </w:pPr>
    <w:rPr>
      <w:rFonts w:ascii="Lucida Grande" w:hAnsi="Lucida Grande"/>
      <w:sz w:val="18"/>
      <w:szCs w:val="18"/>
    </w:rPr>
  </w:style>
  <w:style w:type="character" w:customStyle="1" w:styleId="TextodegloboCar">
    <w:name w:val="Texto de globo Car"/>
    <w:basedOn w:val="Standardnpsmoodstavce"/>
    <w:link w:val="Textbubliny"/>
    <w:uiPriority w:val="99"/>
    <w:semiHidden/>
    <w:rsid w:val="00D74E96"/>
    <w:rPr>
      <w:rFonts w:ascii="Lucida Grande" w:hAnsi="Lucida Grande"/>
      <w:sz w:val="18"/>
      <w:szCs w:val="18"/>
    </w:rPr>
  </w:style>
  <w:style w:type="character" w:styleId="Odkaznakoment">
    <w:name w:val="annotation reference"/>
    <w:basedOn w:val="Standardnpsmoodstavce"/>
    <w:uiPriority w:val="99"/>
    <w:semiHidden/>
    <w:unhideWhenUsed/>
    <w:rsid w:val="00590F3B"/>
    <w:rPr>
      <w:sz w:val="16"/>
      <w:szCs w:val="16"/>
    </w:rPr>
  </w:style>
  <w:style w:type="paragraph" w:styleId="Textkomente">
    <w:name w:val="annotation text"/>
    <w:basedOn w:val="Normln"/>
    <w:link w:val="TextocomentarioCar"/>
    <w:uiPriority w:val="99"/>
    <w:semiHidden/>
    <w:unhideWhenUsed/>
    <w:rsid w:val="00590F3B"/>
    <w:pPr>
      <w:spacing w:line="240" w:lineRule="auto"/>
    </w:pPr>
    <w:rPr>
      <w:sz w:val="20"/>
      <w:szCs w:val="20"/>
    </w:rPr>
  </w:style>
  <w:style w:type="character" w:customStyle="1" w:styleId="TextocomentarioCar">
    <w:name w:val="Texto comentario Car"/>
    <w:basedOn w:val="Standardnpsmoodstavce"/>
    <w:link w:val="Textkomente"/>
    <w:uiPriority w:val="99"/>
    <w:semiHidden/>
    <w:rsid w:val="00590F3B"/>
    <w:rPr>
      <w:sz w:val="20"/>
      <w:szCs w:val="20"/>
    </w:rPr>
  </w:style>
  <w:style w:type="paragraph" w:styleId="Pedmtkomente">
    <w:name w:val="annotation subject"/>
    <w:basedOn w:val="Textkomente"/>
    <w:next w:val="Textkomente"/>
    <w:link w:val="AsuntodelcomentarioCar"/>
    <w:uiPriority w:val="99"/>
    <w:semiHidden/>
    <w:unhideWhenUsed/>
    <w:rsid w:val="00590F3B"/>
    <w:rPr>
      <w:b/>
      <w:bCs/>
    </w:rPr>
  </w:style>
  <w:style w:type="character" w:customStyle="1" w:styleId="AsuntodelcomentarioCar">
    <w:name w:val="Asunto del comentario Car"/>
    <w:basedOn w:val="TextocomentarioCar"/>
    <w:link w:val="Pedmtkomente"/>
    <w:uiPriority w:val="99"/>
    <w:semiHidden/>
    <w:rsid w:val="00590F3B"/>
    <w:rPr>
      <w:b/>
      <w:bCs/>
      <w:sz w:val="20"/>
      <w:szCs w:val="20"/>
    </w:rPr>
  </w:style>
  <w:style w:type="paragraph" w:styleId="Revize">
    <w:name w:val="Revision"/>
    <w:hidden/>
    <w:uiPriority w:val="99"/>
    <w:semiHidden/>
    <w:rsid w:val="0033067E"/>
    <w:pPr>
      <w:spacing w:after="0" w:line="240" w:lineRule="auto"/>
    </w:pPr>
  </w:style>
  <w:style w:type="character" w:styleId="Sledovanodkaz">
    <w:name w:val="FollowedHyperlink"/>
    <w:basedOn w:val="Standardnpsmoodstavce"/>
    <w:uiPriority w:val="99"/>
    <w:semiHidden/>
    <w:unhideWhenUsed/>
    <w:rsid w:val="004F43E1"/>
    <w:rPr>
      <w:color w:val="800080" w:themeColor="followedHyperlink"/>
      <w:u w:val="single"/>
    </w:rPr>
  </w:style>
  <w:style w:type="character" w:customStyle="1" w:styleId="apple-converted-space">
    <w:name w:val="apple-converted-space"/>
    <w:basedOn w:val="Standardnpsmoodstavce"/>
    <w:rsid w:val="00230F6C"/>
  </w:style>
  <w:style w:type="character" w:styleId="Siln">
    <w:name w:val="Strong"/>
    <w:basedOn w:val="Standardnpsmoodstavce"/>
    <w:uiPriority w:val="22"/>
    <w:qFormat/>
    <w:rsid w:val="00230F6C"/>
    <w:rPr>
      <w:b/>
      <w:bCs/>
    </w:rPr>
  </w:style>
  <w:style w:type="paragraph" w:styleId="Zhlav">
    <w:name w:val="header"/>
    <w:basedOn w:val="Normln"/>
    <w:link w:val="EncabezadoCar"/>
    <w:uiPriority w:val="99"/>
    <w:rsid w:val="0070564E"/>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Standardnpsmoodstavce"/>
    <w:link w:val="Zhlav"/>
    <w:uiPriority w:val="99"/>
    <w:rsid w:val="0070564E"/>
    <w:rPr>
      <w:rFonts w:ascii="Calibri" w:eastAsia="Calibri" w:hAnsi="Calibri" w:cs="Times New Roman"/>
      <w:lang w:val="es-ES"/>
    </w:rPr>
  </w:style>
  <w:style w:type="paragraph" w:styleId="Zpat">
    <w:name w:val="footer"/>
    <w:basedOn w:val="Normln"/>
    <w:link w:val="ZpatChar"/>
    <w:uiPriority w:val="99"/>
    <w:unhideWhenUsed/>
    <w:rsid w:val="00EF62ED"/>
    <w:pPr>
      <w:tabs>
        <w:tab w:val="center" w:pos="4252"/>
        <w:tab w:val="right" w:pos="8504"/>
      </w:tabs>
      <w:spacing w:after="0" w:line="240" w:lineRule="auto"/>
    </w:pPr>
  </w:style>
  <w:style w:type="character" w:customStyle="1" w:styleId="ZpatChar">
    <w:name w:val="Zápatí Char"/>
    <w:basedOn w:val="Standardnpsmoodstavce"/>
    <w:link w:val="Zpat"/>
    <w:uiPriority w:val="99"/>
    <w:rsid w:val="00EF62ED"/>
  </w:style>
  <w:style w:type="paragraph" w:customStyle="1" w:styleId="normal1">
    <w:name w:val="normal1"/>
    <w:basedOn w:val="Normln"/>
    <w:rsid w:val="003F59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object">
    <w:name w:val="object"/>
    <w:basedOn w:val="Standardnpsmoodstavce"/>
    <w:rsid w:val="006B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9089">
      <w:bodyDiv w:val="1"/>
      <w:marLeft w:val="0"/>
      <w:marRight w:val="0"/>
      <w:marTop w:val="0"/>
      <w:marBottom w:val="0"/>
      <w:divBdr>
        <w:top w:val="none" w:sz="0" w:space="0" w:color="auto"/>
        <w:left w:val="none" w:sz="0" w:space="0" w:color="auto"/>
        <w:bottom w:val="none" w:sz="0" w:space="0" w:color="auto"/>
        <w:right w:val="none" w:sz="0" w:space="0" w:color="auto"/>
      </w:divBdr>
      <w:divsChild>
        <w:div w:id="265190409">
          <w:marLeft w:val="0"/>
          <w:marRight w:val="0"/>
          <w:marTop w:val="0"/>
          <w:marBottom w:val="0"/>
          <w:divBdr>
            <w:top w:val="none" w:sz="0" w:space="0" w:color="auto"/>
            <w:left w:val="none" w:sz="0" w:space="0" w:color="auto"/>
            <w:bottom w:val="none" w:sz="0" w:space="0" w:color="auto"/>
            <w:right w:val="none" w:sz="0" w:space="0" w:color="auto"/>
          </w:divBdr>
        </w:div>
        <w:div w:id="782115847">
          <w:marLeft w:val="0"/>
          <w:marRight w:val="0"/>
          <w:marTop w:val="0"/>
          <w:marBottom w:val="0"/>
          <w:divBdr>
            <w:top w:val="none" w:sz="0" w:space="0" w:color="auto"/>
            <w:left w:val="none" w:sz="0" w:space="0" w:color="auto"/>
            <w:bottom w:val="none" w:sz="0" w:space="0" w:color="auto"/>
            <w:right w:val="none" w:sz="0" w:space="0" w:color="auto"/>
          </w:divBdr>
        </w:div>
        <w:div w:id="1439568390">
          <w:marLeft w:val="0"/>
          <w:marRight w:val="0"/>
          <w:marTop w:val="0"/>
          <w:marBottom w:val="0"/>
          <w:divBdr>
            <w:top w:val="none" w:sz="0" w:space="0" w:color="auto"/>
            <w:left w:val="none" w:sz="0" w:space="0" w:color="auto"/>
            <w:bottom w:val="none" w:sz="0" w:space="0" w:color="auto"/>
            <w:right w:val="none" w:sz="0" w:space="0" w:color="auto"/>
          </w:divBdr>
        </w:div>
        <w:div w:id="330066554">
          <w:marLeft w:val="0"/>
          <w:marRight w:val="0"/>
          <w:marTop w:val="0"/>
          <w:marBottom w:val="0"/>
          <w:divBdr>
            <w:top w:val="none" w:sz="0" w:space="0" w:color="auto"/>
            <w:left w:val="none" w:sz="0" w:space="0" w:color="auto"/>
            <w:bottom w:val="none" w:sz="0" w:space="0" w:color="auto"/>
            <w:right w:val="none" w:sz="0" w:space="0" w:color="auto"/>
          </w:divBdr>
        </w:div>
        <w:div w:id="900946469">
          <w:marLeft w:val="0"/>
          <w:marRight w:val="0"/>
          <w:marTop w:val="0"/>
          <w:marBottom w:val="0"/>
          <w:divBdr>
            <w:top w:val="none" w:sz="0" w:space="0" w:color="auto"/>
            <w:left w:val="none" w:sz="0" w:space="0" w:color="auto"/>
            <w:bottom w:val="none" w:sz="0" w:space="0" w:color="auto"/>
            <w:right w:val="none" w:sz="0" w:space="0" w:color="auto"/>
          </w:divBdr>
        </w:div>
        <w:div w:id="1000620114">
          <w:marLeft w:val="0"/>
          <w:marRight w:val="0"/>
          <w:marTop w:val="0"/>
          <w:marBottom w:val="0"/>
          <w:divBdr>
            <w:top w:val="none" w:sz="0" w:space="0" w:color="auto"/>
            <w:left w:val="none" w:sz="0" w:space="0" w:color="auto"/>
            <w:bottom w:val="none" w:sz="0" w:space="0" w:color="auto"/>
            <w:right w:val="none" w:sz="0" w:space="0" w:color="auto"/>
          </w:divBdr>
        </w:div>
        <w:div w:id="914163693">
          <w:marLeft w:val="0"/>
          <w:marRight w:val="0"/>
          <w:marTop w:val="0"/>
          <w:marBottom w:val="0"/>
          <w:divBdr>
            <w:top w:val="none" w:sz="0" w:space="0" w:color="auto"/>
            <w:left w:val="none" w:sz="0" w:space="0" w:color="auto"/>
            <w:bottom w:val="none" w:sz="0" w:space="0" w:color="auto"/>
            <w:right w:val="none" w:sz="0" w:space="0" w:color="auto"/>
          </w:divBdr>
        </w:div>
      </w:divsChild>
    </w:div>
    <w:div w:id="1500728722">
      <w:bodyDiv w:val="1"/>
      <w:marLeft w:val="0"/>
      <w:marRight w:val="0"/>
      <w:marTop w:val="0"/>
      <w:marBottom w:val="0"/>
      <w:divBdr>
        <w:top w:val="none" w:sz="0" w:space="0" w:color="auto"/>
        <w:left w:val="none" w:sz="0" w:space="0" w:color="auto"/>
        <w:bottom w:val="none" w:sz="0" w:space="0" w:color="auto"/>
        <w:right w:val="none" w:sz="0" w:space="0" w:color="auto"/>
      </w:divBdr>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7725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ctical-action.org/6WS-28G33-E152HU-Y7NK9-1/c.aspx" TargetMode="External"/><Relationship Id="rId18" Type="http://schemas.openxmlformats.org/officeDocument/2006/relationships/hyperlink" Target="mailto:emily.mattiussi@ewb-uk.org?subject=emilyli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ctical-action.org/6WS-28G33-E152HU-Y7NK8-1/c.aspx" TargetMode="External"/><Relationship Id="rId17" Type="http://schemas.openxmlformats.org/officeDocument/2006/relationships/hyperlink" Target="mailto:gabriella.trombino@unitn.it?subject=gabriellalink" TargetMode="External"/><Relationship Id="rId2" Type="http://schemas.openxmlformats.org/officeDocument/2006/relationships/numbering" Target="numbering.xml"/><Relationship Id="rId16" Type="http://schemas.openxmlformats.org/officeDocument/2006/relationships/hyperlink" Target="mailto:boris.lazzarini@upc.edu?subject=borise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ractical-action.org/6WS-28G33-E152HU-Y7HNV-1/c.aspx" TargetMode="External"/><Relationship Id="rId10" Type="http://schemas.openxmlformats.org/officeDocument/2006/relationships/image" Target="media/image1.gif"/><Relationship Id="rId19" Type="http://schemas.openxmlformats.org/officeDocument/2006/relationships/hyperlink" Target="mailto:info@gdee.eu?subject=gdee.eulink" TargetMode="External"/><Relationship Id="rId4" Type="http://schemas.microsoft.com/office/2007/relationships/stylesWithEffects" Target="stylesWithEffects.xml"/><Relationship Id="rId9" Type="http://schemas.openxmlformats.org/officeDocument/2006/relationships/hyperlink" Target="http://practical-action.org/6WS-28G33-E152HU-Y7COX-1/c.aspx" TargetMode="External"/><Relationship Id="rId14" Type="http://schemas.openxmlformats.org/officeDocument/2006/relationships/hyperlink" Target="http://practical-action.org/6WS-28G33-E152HU-Y7NKA-1/c.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gde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9B2AF-AAD2-498E-A370-6AA1D43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2719</Characters>
  <Application>Microsoft Office Word</Application>
  <DocSecurity>4</DocSecurity>
  <Lines>22</Lines>
  <Paragraphs>6</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UPC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fors01</cp:lastModifiedBy>
  <cp:revision>2</cp:revision>
  <cp:lastPrinted>2014-02-17T12:59:00Z</cp:lastPrinted>
  <dcterms:created xsi:type="dcterms:W3CDTF">2014-03-06T11:26:00Z</dcterms:created>
  <dcterms:modified xsi:type="dcterms:W3CDTF">2014-03-06T11:26:00Z</dcterms:modified>
</cp:coreProperties>
</file>